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721" w:rsidRPr="004F4E16" w:rsidRDefault="009A79D1" w:rsidP="009A79D1">
      <w:pPr>
        <w:pStyle w:val="Heading1"/>
      </w:pPr>
      <w:bookmarkStart w:id="0" w:name="_GoBack"/>
      <w:bookmarkEnd w:id="0"/>
      <w:r w:rsidRPr="004F4E16">
        <w:t>Support Offer</w:t>
      </w:r>
      <w:r w:rsidR="00301819" w:rsidRPr="004F4E16">
        <w:t xml:space="preserve"> </w:t>
      </w:r>
      <w:r w:rsidR="004A0484" w:rsidRPr="004F4E16">
        <w:t>for the delivery of the SEND Reforms</w:t>
      </w:r>
    </w:p>
    <w:p w:rsidR="009A79D1" w:rsidRPr="004F4E16" w:rsidRDefault="009A79D1" w:rsidP="009A79D1"/>
    <w:p w:rsidR="00C63215" w:rsidRPr="004F4E16" w:rsidRDefault="00C63215" w:rsidP="00C63215">
      <w:r w:rsidRPr="004F4E16">
        <w:t xml:space="preserve">The Department for Education has commissioned a range of support for Local Areas to support </w:t>
      </w:r>
      <w:r w:rsidR="004A0484" w:rsidRPr="004F4E16">
        <w:t xml:space="preserve">their </w:t>
      </w:r>
      <w:r w:rsidRPr="004F4E16">
        <w:t>delivery of</w:t>
      </w:r>
      <w:r w:rsidR="009A79D1" w:rsidRPr="004F4E16">
        <w:t xml:space="preserve"> the</w:t>
      </w:r>
      <w:r w:rsidRPr="004F4E16">
        <w:t xml:space="preserve"> SEND reforms. Below describes the </w:t>
      </w:r>
      <w:r w:rsidR="009A79D1" w:rsidRPr="004F4E16">
        <w:t>offer</w:t>
      </w:r>
      <w:r w:rsidRPr="004F4E16">
        <w:t xml:space="preserve"> of support</w:t>
      </w:r>
      <w:r w:rsidR="003D507E">
        <w:t xml:space="preserve"> for regions</w:t>
      </w:r>
      <w:r w:rsidRPr="004F4E16">
        <w:t xml:space="preserve"> </w:t>
      </w:r>
      <w:r w:rsidR="009A79D1" w:rsidRPr="004F4E16">
        <w:t>between now and March 201</w:t>
      </w:r>
      <w:r w:rsidR="004F4E16" w:rsidRPr="004F4E16">
        <w:t>8</w:t>
      </w:r>
      <w:r w:rsidR="009A79D1" w:rsidRPr="004F4E16">
        <w:t xml:space="preserve"> </w:t>
      </w:r>
      <w:r w:rsidRPr="004F4E16">
        <w:t xml:space="preserve">including both flexible and </w:t>
      </w:r>
      <w:r w:rsidR="009A79D1" w:rsidRPr="004F4E16">
        <w:t>prescriptive</w:t>
      </w:r>
      <w:r w:rsidRPr="004F4E16">
        <w:t xml:space="preserve"> elements based on identified need agreed with the </w:t>
      </w:r>
      <w:proofErr w:type="spellStart"/>
      <w:r w:rsidRPr="004F4E16">
        <w:t>DfE</w:t>
      </w:r>
      <w:proofErr w:type="spellEnd"/>
      <w:r w:rsidRPr="004F4E16">
        <w:t xml:space="preserve">. </w:t>
      </w:r>
    </w:p>
    <w:p w:rsidR="00C63215" w:rsidRDefault="00C63215">
      <w:r w:rsidRPr="004F4E16">
        <w:t xml:space="preserve">Note: Where support is delivered by the Delivering Better Outcomes Together (DBOT) consortium </w:t>
      </w:r>
      <w:r w:rsidR="004A0484" w:rsidRPr="004F4E16">
        <w:t xml:space="preserve">below </w:t>
      </w:r>
      <w:r w:rsidRPr="004F4E16">
        <w:t xml:space="preserve">and a specific event/workshop has been </w:t>
      </w:r>
      <w:r w:rsidR="009A79D1" w:rsidRPr="004F4E16">
        <w:t xml:space="preserve">identified </w:t>
      </w:r>
      <w:r w:rsidR="004A0484" w:rsidRPr="004F4E16">
        <w:t xml:space="preserve">the </w:t>
      </w:r>
      <w:r w:rsidRPr="004F4E16">
        <w:t xml:space="preserve">venue costs will be included in </w:t>
      </w:r>
      <w:r w:rsidRPr="00F04F0C">
        <w:t>th</w:t>
      </w:r>
      <w:r w:rsidR="009A79D1" w:rsidRPr="00F04F0C">
        <w:t xml:space="preserve">is </w:t>
      </w:r>
      <w:r w:rsidRPr="00F04F0C">
        <w:t>offer of support.</w:t>
      </w:r>
    </w:p>
    <w:tbl>
      <w:tblPr>
        <w:tblStyle w:val="TableGrid"/>
        <w:tblW w:w="0" w:type="auto"/>
        <w:tblLayout w:type="fixed"/>
        <w:tblLook w:val="04A0" w:firstRow="1" w:lastRow="0" w:firstColumn="1" w:lastColumn="0" w:noHBand="0" w:noVBand="1"/>
      </w:tblPr>
      <w:tblGrid>
        <w:gridCol w:w="1526"/>
        <w:gridCol w:w="1559"/>
        <w:gridCol w:w="4111"/>
        <w:gridCol w:w="10064"/>
        <w:gridCol w:w="3563"/>
      </w:tblGrid>
      <w:tr w:rsidR="00122D0D" w:rsidTr="005C005B">
        <w:tc>
          <w:tcPr>
            <w:tcW w:w="1526" w:type="dxa"/>
            <w:shd w:val="clear" w:color="auto" w:fill="548DD4" w:themeFill="text2" w:themeFillTint="99"/>
          </w:tcPr>
          <w:p w:rsidR="00284FF6" w:rsidRPr="004F4E16" w:rsidRDefault="004F4E16">
            <w:pPr>
              <w:rPr>
                <w:b/>
                <w:color w:val="F2F2F2" w:themeColor="background1" w:themeShade="F2"/>
                <w:sz w:val="24"/>
              </w:rPr>
            </w:pPr>
            <w:r>
              <w:rPr>
                <w:b/>
                <w:color w:val="F2F2F2" w:themeColor="background1" w:themeShade="F2"/>
                <w:sz w:val="24"/>
              </w:rPr>
              <w:t>Area</w:t>
            </w:r>
            <w:r w:rsidR="00D355C2" w:rsidRPr="004F4E16">
              <w:rPr>
                <w:b/>
                <w:color w:val="F2F2F2" w:themeColor="background1" w:themeShade="F2"/>
                <w:sz w:val="24"/>
              </w:rPr>
              <w:t xml:space="preserve"> of support</w:t>
            </w:r>
          </w:p>
        </w:tc>
        <w:tc>
          <w:tcPr>
            <w:tcW w:w="1559" w:type="dxa"/>
            <w:shd w:val="clear" w:color="auto" w:fill="548DD4" w:themeFill="text2" w:themeFillTint="99"/>
          </w:tcPr>
          <w:p w:rsidR="00284FF6" w:rsidRPr="005C005B" w:rsidRDefault="00284FF6">
            <w:pPr>
              <w:rPr>
                <w:b/>
                <w:color w:val="F2F2F2" w:themeColor="background1" w:themeShade="F2"/>
                <w:sz w:val="24"/>
              </w:rPr>
            </w:pPr>
            <w:r w:rsidRPr="005C005B">
              <w:rPr>
                <w:b/>
                <w:color w:val="F2F2F2" w:themeColor="background1" w:themeShade="F2"/>
                <w:sz w:val="24"/>
              </w:rPr>
              <w:t>Delivered by</w:t>
            </w:r>
          </w:p>
        </w:tc>
        <w:tc>
          <w:tcPr>
            <w:tcW w:w="4111" w:type="dxa"/>
            <w:shd w:val="clear" w:color="auto" w:fill="548DD4" w:themeFill="text2" w:themeFillTint="99"/>
          </w:tcPr>
          <w:p w:rsidR="00284FF6" w:rsidRPr="005C005B" w:rsidRDefault="00284FF6">
            <w:pPr>
              <w:rPr>
                <w:b/>
                <w:color w:val="F2F2F2" w:themeColor="background1" w:themeShade="F2"/>
                <w:sz w:val="24"/>
              </w:rPr>
            </w:pPr>
            <w:r w:rsidRPr="005C005B">
              <w:rPr>
                <w:b/>
                <w:color w:val="F2F2F2" w:themeColor="background1" w:themeShade="F2"/>
                <w:sz w:val="24"/>
              </w:rPr>
              <w:t>What we can offer</w:t>
            </w:r>
          </w:p>
        </w:tc>
        <w:tc>
          <w:tcPr>
            <w:tcW w:w="10064" w:type="dxa"/>
            <w:shd w:val="clear" w:color="auto" w:fill="548DD4" w:themeFill="text2" w:themeFillTint="99"/>
          </w:tcPr>
          <w:p w:rsidR="00284FF6" w:rsidRPr="005C005B" w:rsidRDefault="00284FF6">
            <w:pPr>
              <w:rPr>
                <w:b/>
                <w:color w:val="F2F2F2" w:themeColor="background1" w:themeShade="F2"/>
                <w:sz w:val="24"/>
              </w:rPr>
            </w:pPr>
            <w:r w:rsidRPr="005C005B">
              <w:rPr>
                <w:b/>
                <w:color w:val="F2F2F2" w:themeColor="background1" w:themeShade="F2"/>
                <w:sz w:val="24"/>
              </w:rPr>
              <w:t>Further details</w:t>
            </w:r>
          </w:p>
        </w:tc>
        <w:tc>
          <w:tcPr>
            <w:tcW w:w="3563" w:type="dxa"/>
            <w:shd w:val="clear" w:color="auto" w:fill="548DD4" w:themeFill="text2" w:themeFillTint="99"/>
          </w:tcPr>
          <w:p w:rsidR="00284FF6" w:rsidRPr="005C005B" w:rsidRDefault="00284FF6" w:rsidP="00F81A4A">
            <w:pPr>
              <w:rPr>
                <w:b/>
                <w:color w:val="F2F2F2" w:themeColor="background1" w:themeShade="F2"/>
                <w:sz w:val="24"/>
              </w:rPr>
            </w:pPr>
            <w:r w:rsidRPr="005C005B">
              <w:rPr>
                <w:b/>
                <w:color w:val="F2F2F2" w:themeColor="background1" w:themeShade="F2"/>
                <w:sz w:val="24"/>
              </w:rPr>
              <w:t>How you can access this support</w:t>
            </w:r>
          </w:p>
        </w:tc>
      </w:tr>
      <w:tr w:rsidR="00522446" w:rsidTr="005C005B">
        <w:tc>
          <w:tcPr>
            <w:tcW w:w="1526" w:type="dxa"/>
            <w:vMerge w:val="restart"/>
            <w:shd w:val="clear" w:color="auto" w:fill="548DD4" w:themeFill="text2" w:themeFillTint="99"/>
          </w:tcPr>
          <w:p w:rsidR="00522446" w:rsidRPr="004F4E16" w:rsidRDefault="00932EED" w:rsidP="005C005B">
            <w:pPr>
              <w:rPr>
                <w:b/>
                <w:color w:val="F2F2F2" w:themeColor="background1" w:themeShade="F2"/>
              </w:rPr>
            </w:pPr>
            <w:r w:rsidRPr="004F4E16">
              <w:rPr>
                <w:b/>
                <w:color w:val="F2F2F2" w:themeColor="background1" w:themeShade="F2"/>
              </w:rPr>
              <w:t>Regional Support</w:t>
            </w:r>
            <w:r w:rsidR="00045B12" w:rsidRPr="004F4E16">
              <w:rPr>
                <w:b/>
                <w:color w:val="F2F2F2" w:themeColor="background1" w:themeShade="F2"/>
              </w:rPr>
              <w:t xml:space="preserve"> – SEND Regional Networks</w:t>
            </w:r>
          </w:p>
        </w:tc>
        <w:tc>
          <w:tcPr>
            <w:tcW w:w="1559" w:type="dxa"/>
            <w:vMerge w:val="restart"/>
          </w:tcPr>
          <w:p w:rsidR="00522446" w:rsidRDefault="00522446" w:rsidP="00E8469F">
            <w:r>
              <w:t>Mott MacDonald</w:t>
            </w:r>
            <w:r w:rsidR="00F81A4A">
              <w:t xml:space="preserve"> </w:t>
            </w:r>
            <w:r w:rsidR="00F81A4A" w:rsidRPr="00C95BBA">
              <w:t>(DBOT)</w:t>
            </w:r>
          </w:p>
        </w:tc>
        <w:tc>
          <w:tcPr>
            <w:tcW w:w="4111" w:type="dxa"/>
          </w:tcPr>
          <w:p w:rsidR="00522446" w:rsidRPr="00320A7F" w:rsidRDefault="004F4E16" w:rsidP="00320A7F">
            <w:r>
              <w:t>90 r</w:t>
            </w:r>
            <w:r w:rsidR="00045B12">
              <w:t xml:space="preserve">egional flexible support days </w:t>
            </w:r>
            <w:r>
              <w:t>in total to be shared across all 9 regions based on need</w:t>
            </w:r>
          </w:p>
        </w:tc>
        <w:tc>
          <w:tcPr>
            <w:tcW w:w="10064" w:type="dxa"/>
          </w:tcPr>
          <w:p w:rsidR="00045B12" w:rsidRDefault="00045B12" w:rsidP="00363B8B">
            <w:pPr>
              <w:pStyle w:val="ListParagraph"/>
              <w:numPr>
                <w:ilvl w:val="0"/>
                <w:numId w:val="30"/>
              </w:numPr>
            </w:pPr>
            <w:r>
              <w:t>Examples of what this support could be used for include:</w:t>
            </w:r>
          </w:p>
          <w:p w:rsidR="00045B12" w:rsidRDefault="00045B12" w:rsidP="006D7983">
            <w:pPr>
              <w:pStyle w:val="ListParagraph"/>
              <w:numPr>
                <w:ilvl w:val="0"/>
                <w:numId w:val="13"/>
              </w:numPr>
            </w:pPr>
            <w:r>
              <w:t>Provision of direct support to SEND Regional Leads (including planning time and other ‘behind the scenes’ activity).</w:t>
            </w:r>
          </w:p>
          <w:p w:rsidR="00045B12" w:rsidRDefault="00045B12" w:rsidP="006D7983">
            <w:pPr>
              <w:pStyle w:val="ListParagraph"/>
              <w:numPr>
                <w:ilvl w:val="0"/>
                <w:numId w:val="13"/>
              </w:numPr>
            </w:pPr>
            <w:r>
              <w:t>Regional events (including cluster groups, seminars, workshops etc.)</w:t>
            </w:r>
          </w:p>
          <w:p w:rsidR="00F04F0C" w:rsidRDefault="00F04F0C" w:rsidP="006D7983">
            <w:pPr>
              <w:pStyle w:val="ListParagraph"/>
              <w:numPr>
                <w:ilvl w:val="0"/>
                <w:numId w:val="13"/>
              </w:numPr>
            </w:pPr>
            <w:r>
              <w:t>Support in developing regional resources and tools</w:t>
            </w:r>
          </w:p>
          <w:p w:rsidR="00F04F0C" w:rsidRDefault="00045B12" w:rsidP="006D7983">
            <w:pPr>
              <w:pStyle w:val="ListParagraph"/>
              <w:numPr>
                <w:ilvl w:val="0"/>
                <w:numId w:val="13"/>
              </w:numPr>
            </w:pPr>
            <w:r>
              <w:t>Training an</w:t>
            </w:r>
            <w:r w:rsidR="004F4E16">
              <w:t>d other events for stakeholders</w:t>
            </w:r>
          </w:p>
          <w:p w:rsidR="00522446" w:rsidRDefault="00045B12" w:rsidP="006D7983">
            <w:pPr>
              <w:pStyle w:val="ListParagraph"/>
              <w:numPr>
                <w:ilvl w:val="0"/>
                <w:numId w:val="13"/>
              </w:numPr>
            </w:pPr>
            <w:r>
              <w:t>Supporting regions with the development of a sustainable approach</w:t>
            </w:r>
            <w:r w:rsidR="00F04F0C">
              <w:t xml:space="preserve"> </w:t>
            </w:r>
          </w:p>
          <w:p w:rsidR="004F4E16" w:rsidRDefault="004F4E16" w:rsidP="004F4E16">
            <w:pPr>
              <w:pStyle w:val="ListParagraph"/>
            </w:pPr>
          </w:p>
        </w:tc>
        <w:tc>
          <w:tcPr>
            <w:tcW w:w="3563" w:type="dxa"/>
            <w:vMerge w:val="restart"/>
          </w:tcPr>
          <w:p w:rsidR="00045B12" w:rsidRDefault="00045B12" w:rsidP="00045B12">
            <w:r>
              <w:t>For more information please email SENDdeliverysupport@mottmac.com</w:t>
            </w:r>
          </w:p>
          <w:p w:rsidR="00045B12" w:rsidRDefault="00045B12" w:rsidP="00045B12">
            <w:r>
              <w:t>or call 0207 651 0308</w:t>
            </w:r>
          </w:p>
          <w:p w:rsidR="003F5F69" w:rsidRDefault="003F5F69" w:rsidP="00045B12"/>
          <w:p w:rsidR="00045B12" w:rsidRDefault="00045B12" w:rsidP="00045B12">
            <w:r>
              <w:t>Mott MacDonald regional contacts:</w:t>
            </w:r>
          </w:p>
          <w:p w:rsidR="003F5F69" w:rsidRDefault="003F5F69" w:rsidP="00045B12"/>
          <w:p w:rsidR="00045B12" w:rsidRPr="003D507E" w:rsidRDefault="00045B12" w:rsidP="00045B12">
            <w:pPr>
              <w:rPr>
                <w:b/>
              </w:rPr>
            </w:pPr>
            <w:r w:rsidRPr="003D507E">
              <w:rPr>
                <w:b/>
              </w:rPr>
              <w:t>WM</w:t>
            </w:r>
            <w:r w:rsidR="003F5F69" w:rsidRPr="003D507E">
              <w:rPr>
                <w:b/>
              </w:rPr>
              <w:t xml:space="preserve">, SW and </w:t>
            </w:r>
            <w:r w:rsidRPr="003D507E">
              <w:rPr>
                <w:b/>
              </w:rPr>
              <w:t>NE</w:t>
            </w:r>
          </w:p>
          <w:p w:rsidR="00045B12" w:rsidRDefault="00045B12" w:rsidP="00045B12">
            <w:r>
              <w:t>Megan Grantham</w:t>
            </w:r>
          </w:p>
          <w:p w:rsidR="00045B12" w:rsidRDefault="00900B28" w:rsidP="00045B12">
            <w:hyperlink r:id="rId9" w:history="1">
              <w:r w:rsidR="003F5F69" w:rsidRPr="000C67D8">
                <w:rPr>
                  <w:rStyle w:val="Hyperlink"/>
                </w:rPr>
                <w:t>Megan.Grantham@mottmac.com</w:t>
              </w:r>
            </w:hyperlink>
          </w:p>
          <w:p w:rsidR="003F5F69" w:rsidRDefault="003F5F69" w:rsidP="00045B12"/>
          <w:p w:rsidR="00E62BD3" w:rsidRPr="003D507E" w:rsidRDefault="00E62BD3" w:rsidP="00E62BD3">
            <w:pPr>
              <w:rPr>
                <w:b/>
              </w:rPr>
            </w:pPr>
            <w:r w:rsidRPr="003D507E">
              <w:rPr>
                <w:b/>
              </w:rPr>
              <w:t>EM and SE</w:t>
            </w:r>
          </w:p>
          <w:p w:rsidR="00E62BD3" w:rsidRDefault="00E62BD3" w:rsidP="00E62BD3">
            <w:r>
              <w:t>Natalie Fisher</w:t>
            </w:r>
          </w:p>
          <w:p w:rsidR="00E62BD3" w:rsidRDefault="00900B28" w:rsidP="00E62BD3">
            <w:pPr>
              <w:rPr>
                <w:rStyle w:val="Hyperlink"/>
              </w:rPr>
            </w:pPr>
            <w:hyperlink r:id="rId10" w:history="1">
              <w:r w:rsidR="00E62BD3" w:rsidRPr="000C67D8">
                <w:rPr>
                  <w:rStyle w:val="Hyperlink"/>
                </w:rPr>
                <w:t>Natalie.fisher@mottmac.com</w:t>
              </w:r>
            </w:hyperlink>
          </w:p>
          <w:p w:rsidR="00E62BD3" w:rsidRDefault="00E62BD3" w:rsidP="00E62BD3"/>
          <w:p w:rsidR="00045B12" w:rsidRPr="003D507E" w:rsidRDefault="003F5F69" w:rsidP="00045B12">
            <w:pPr>
              <w:rPr>
                <w:b/>
              </w:rPr>
            </w:pPr>
            <w:r w:rsidRPr="003D507E">
              <w:rPr>
                <w:b/>
              </w:rPr>
              <w:t xml:space="preserve">Y&amp;H and </w:t>
            </w:r>
            <w:proofErr w:type="spellStart"/>
            <w:r w:rsidRPr="003D507E">
              <w:rPr>
                <w:b/>
              </w:rPr>
              <w:t>EoE</w:t>
            </w:r>
            <w:proofErr w:type="spellEnd"/>
          </w:p>
          <w:p w:rsidR="00045B12" w:rsidRDefault="003F5F69" w:rsidP="00045B12">
            <w:r>
              <w:t>Mary Wood</w:t>
            </w:r>
          </w:p>
          <w:p w:rsidR="003F5F69" w:rsidRDefault="00900B28" w:rsidP="00045B12">
            <w:hyperlink r:id="rId11" w:history="1">
              <w:r w:rsidR="003F5F69" w:rsidRPr="000C67D8">
                <w:rPr>
                  <w:rStyle w:val="Hyperlink"/>
                </w:rPr>
                <w:t>Mary.Wood@mottmac.com</w:t>
              </w:r>
            </w:hyperlink>
          </w:p>
          <w:p w:rsidR="003F5F69" w:rsidRDefault="003F5F69" w:rsidP="00045B12"/>
          <w:p w:rsidR="00045B12" w:rsidRPr="003D507E" w:rsidRDefault="00045B12" w:rsidP="00045B12">
            <w:pPr>
              <w:rPr>
                <w:b/>
              </w:rPr>
            </w:pPr>
            <w:r w:rsidRPr="003D507E">
              <w:rPr>
                <w:b/>
              </w:rPr>
              <w:t>NW</w:t>
            </w:r>
          </w:p>
          <w:p w:rsidR="00045B12" w:rsidRDefault="003F5F69" w:rsidP="00045B12">
            <w:r>
              <w:t>Scott Boyd</w:t>
            </w:r>
          </w:p>
          <w:p w:rsidR="00522446" w:rsidRDefault="00900B28" w:rsidP="00045B12">
            <w:hyperlink r:id="rId12" w:history="1">
              <w:r w:rsidR="003F5F69" w:rsidRPr="000C67D8">
                <w:rPr>
                  <w:rStyle w:val="Hyperlink"/>
                </w:rPr>
                <w:t>Scott.Boyd@mottmac.com</w:t>
              </w:r>
            </w:hyperlink>
          </w:p>
          <w:p w:rsidR="003F5F69" w:rsidRDefault="003F5F69" w:rsidP="00045B12"/>
          <w:p w:rsidR="003F5F69" w:rsidRPr="003D507E" w:rsidRDefault="003F5F69" w:rsidP="00045B12">
            <w:pPr>
              <w:rPr>
                <w:b/>
              </w:rPr>
            </w:pPr>
            <w:r w:rsidRPr="003D507E">
              <w:rPr>
                <w:b/>
              </w:rPr>
              <w:t>London</w:t>
            </w:r>
          </w:p>
          <w:p w:rsidR="003F5F69" w:rsidRDefault="003F5F69" w:rsidP="00045B12">
            <w:r>
              <w:t>Pam Kemp</w:t>
            </w:r>
          </w:p>
          <w:p w:rsidR="006C54CA" w:rsidRDefault="00900B28" w:rsidP="006C54CA">
            <w:hyperlink r:id="rId13" w:history="1">
              <w:r w:rsidR="006C54CA">
                <w:rPr>
                  <w:rStyle w:val="Hyperlink"/>
                </w:rPr>
                <w:t>Pamela.Kemp-mm@mottmac.com</w:t>
              </w:r>
            </w:hyperlink>
          </w:p>
          <w:p w:rsidR="003F5F69" w:rsidRDefault="003F5F69" w:rsidP="00045B12"/>
        </w:tc>
      </w:tr>
      <w:tr w:rsidR="00522446" w:rsidTr="00045B12">
        <w:trPr>
          <w:trHeight w:val="303"/>
        </w:trPr>
        <w:tc>
          <w:tcPr>
            <w:tcW w:w="1526" w:type="dxa"/>
            <w:vMerge/>
            <w:shd w:val="clear" w:color="auto" w:fill="548DD4" w:themeFill="text2" w:themeFillTint="99"/>
          </w:tcPr>
          <w:p w:rsidR="00522446" w:rsidRPr="00122D0D" w:rsidRDefault="00522446" w:rsidP="00E8469F">
            <w:pPr>
              <w:rPr>
                <w:b/>
                <w:color w:val="F2F2F2" w:themeColor="background1" w:themeShade="F2"/>
              </w:rPr>
            </w:pPr>
          </w:p>
        </w:tc>
        <w:tc>
          <w:tcPr>
            <w:tcW w:w="1559" w:type="dxa"/>
            <w:vMerge/>
          </w:tcPr>
          <w:p w:rsidR="00522446" w:rsidRDefault="00522446" w:rsidP="00E8469F"/>
        </w:tc>
        <w:tc>
          <w:tcPr>
            <w:tcW w:w="4111" w:type="dxa"/>
          </w:tcPr>
          <w:p w:rsidR="00522446" w:rsidRDefault="00F04F0C" w:rsidP="00320A7F">
            <w:r>
              <w:t xml:space="preserve">2 </w:t>
            </w:r>
            <w:r w:rsidR="00045B12">
              <w:t xml:space="preserve">Team Around the Region </w:t>
            </w:r>
            <w:r w:rsidR="004F4E16">
              <w:t>meeting</w:t>
            </w:r>
            <w:r>
              <w:t>s</w:t>
            </w:r>
            <w:r w:rsidR="004F4E16">
              <w:t xml:space="preserve"> </w:t>
            </w:r>
            <w:r w:rsidR="00045B12">
              <w:t xml:space="preserve">and </w:t>
            </w:r>
            <w:r>
              <w:t xml:space="preserve">support </w:t>
            </w:r>
            <w:r w:rsidR="00E62BD3">
              <w:t xml:space="preserve">in development of the regional </w:t>
            </w:r>
            <w:r w:rsidR="00045B12">
              <w:t>delivery plan</w:t>
            </w:r>
          </w:p>
        </w:tc>
        <w:tc>
          <w:tcPr>
            <w:tcW w:w="10064" w:type="dxa"/>
          </w:tcPr>
          <w:p w:rsidR="00E62BD3" w:rsidRDefault="00F04F0C" w:rsidP="006D7983">
            <w:pPr>
              <w:pStyle w:val="ListParagraph"/>
              <w:numPr>
                <w:ilvl w:val="0"/>
                <w:numId w:val="12"/>
              </w:numPr>
            </w:pPr>
            <w:r w:rsidRPr="005C005B">
              <w:t xml:space="preserve">Deliver a session in each region where delivery partners come together to articulate their offers of support and </w:t>
            </w:r>
            <w:r w:rsidR="00E62BD3">
              <w:t xml:space="preserve">agree how to </w:t>
            </w:r>
            <w:r w:rsidRPr="005C005B">
              <w:t xml:space="preserve">work with the regions.  </w:t>
            </w:r>
          </w:p>
          <w:p w:rsidR="00F04F0C" w:rsidRPr="005C005B" w:rsidRDefault="00E62BD3" w:rsidP="006D7983">
            <w:pPr>
              <w:pStyle w:val="ListParagraph"/>
              <w:numPr>
                <w:ilvl w:val="0"/>
                <w:numId w:val="12"/>
              </w:numPr>
            </w:pPr>
            <w:r>
              <w:t>A follow up meeting to be held later in the year bringing delivery partners together to review progress against the delivery plan and agreeing any remaining support.</w:t>
            </w:r>
          </w:p>
          <w:p w:rsidR="00045B12" w:rsidRDefault="00E62BD3" w:rsidP="006D7983">
            <w:pPr>
              <w:pStyle w:val="ListParagraph"/>
              <w:numPr>
                <w:ilvl w:val="0"/>
                <w:numId w:val="12"/>
              </w:numPr>
              <w:autoSpaceDE w:val="0"/>
              <w:autoSpaceDN w:val="0"/>
              <w:adjustRightInd w:val="0"/>
            </w:pPr>
            <w:r>
              <w:t>Supporting regional</w:t>
            </w:r>
            <w:r w:rsidR="00F04F0C">
              <w:t xml:space="preserve"> leads with the development of a regional delivery pla</w:t>
            </w:r>
            <w:r>
              <w:t>n</w:t>
            </w:r>
          </w:p>
          <w:p w:rsidR="00E62BD3" w:rsidRDefault="00E62BD3" w:rsidP="00E62BD3">
            <w:pPr>
              <w:autoSpaceDE w:val="0"/>
              <w:autoSpaceDN w:val="0"/>
              <w:adjustRightInd w:val="0"/>
            </w:pPr>
          </w:p>
        </w:tc>
        <w:tc>
          <w:tcPr>
            <w:tcW w:w="3563" w:type="dxa"/>
            <w:vMerge/>
          </w:tcPr>
          <w:p w:rsidR="00522446" w:rsidRDefault="00522446" w:rsidP="00E8469F"/>
        </w:tc>
      </w:tr>
      <w:tr w:rsidR="00522446" w:rsidTr="005C005B">
        <w:tc>
          <w:tcPr>
            <w:tcW w:w="1526" w:type="dxa"/>
            <w:vMerge/>
            <w:shd w:val="clear" w:color="auto" w:fill="548DD4" w:themeFill="text2" w:themeFillTint="99"/>
          </w:tcPr>
          <w:p w:rsidR="00522446" w:rsidRPr="00122D0D" w:rsidRDefault="00522446" w:rsidP="00E8469F">
            <w:pPr>
              <w:rPr>
                <w:b/>
                <w:color w:val="F2F2F2" w:themeColor="background1" w:themeShade="F2"/>
              </w:rPr>
            </w:pPr>
          </w:p>
        </w:tc>
        <w:tc>
          <w:tcPr>
            <w:tcW w:w="1559" w:type="dxa"/>
            <w:vMerge/>
          </w:tcPr>
          <w:p w:rsidR="00522446" w:rsidRDefault="00522446" w:rsidP="00E8469F"/>
        </w:tc>
        <w:tc>
          <w:tcPr>
            <w:tcW w:w="4111" w:type="dxa"/>
          </w:tcPr>
          <w:p w:rsidR="00522446" w:rsidRPr="0001689A" w:rsidRDefault="00045B12" w:rsidP="00F81A4A">
            <w:r w:rsidRPr="00045B12">
              <w:t xml:space="preserve">5 </w:t>
            </w:r>
            <w:r w:rsidR="004534A2">
              <w:t xml:space="preserve">national </w:t>
            </w:r>
            <w:r w:rsidRPr="00045B12">
              <w:t>SEND Regional Leads Network Me</w:t>
            </w:r>
            <w:r w:rsidR="00E62BD3">
              <w:t xml:space="preserve">etings </w:t>
            </w:r>
          </w:p>
        </w:tc>
        <w:tc>
          <w:tcPr>
            <w:tcW w:w="10064" w:type="dxa"/>
          </w:tcPr>
          <w:p w:rsidR="00045B12" w:rsidRDefault="00045B12" w:rsidP="006D7983">
            <w:pPr>
              <w:pStyle w:val="ListParagraph"/>
              <w:numPr>
                <w:ilvl w:val="0"/>
                <w:numId w:val="10"/>
              </w:numPr>
            </w:pPr>
            <w:r>
              <w:t>To enable cross regional networking and sharing of experiences</w:t>
            </w:r>
          </w:p>
          <w:p w:rsidR="00045B12" w:rsidRDefault="00045B12" w:rsidP="006D7983">
            <w:pPr>
              <w:pStyle w:val="ListParagraph"/>
              <w:numPr>
                <w:ilvl w:val="0"/>
                <w:numId w:val="10"/>
              </w:numPr>
            </w:pPr>
            <w:r>
              <w:t>To promote change and support continuous improvement with</w:t>
            </w:r>
            <w:r w:rsidR="00E62BD3">
              <w:t>in</w:t>
            </w:r>
            <w:r>
              <w:t xml:space="preserve"> the regions</w:t>
            </w:r>
          </w:p>
          <w:p w:rsidR="00526F6C" w:rsidRDefault="00045B12" w:rsidP="006D7983">
            <w:pPr>
              <w:pStyle w:val="ListParagraph"/>
              <w:numPr>
                <w:ilvl w:val="0"/>
                <w:numId w:val="10"/>
              </w:numPr>
            </w:pPr>
            <w:r>
              <w:t xml:space="preserve">Agenda items will be identified based on need and in conjunction with the </w:t>
            </w:r>
            <w:proofErr w:type="spellStart"/>
            <w:r>
              <w:t>DfE</w:t>
            </w:r>
            <w:proofErr w:type="spellEnd"/>
            <w:r>
              <w:t xml:space="preserve"> and the Regional leads</w:t>
            </w:r>
          </w:p>
          <w:p w:rsidR="00E62BD3" w:rsidRDefault="00E62BD3" w:rsidP="00E62BD3">
            <w:pPr>
              <w:pStyle w:val="ListParagraph"/>
            </w:pPr>
          </w:p>
        </w:tc>
        <w:tc>
          <w:tcPr>
            <w:tcW w:w="3563" w:type="dxa"/>
            <w:vMerge/>
          </w:tcPr>
          <w:p w:rsidR="00522446" w:rsidRDefault="00522446" w:rsidP="00E8469F"/>
        </w:tc>
      </w:tr>
      <w:tr w:rsidR="00522446" w:rsidTr="00045B12">
        <w:trPr>
          <w:trHeight w:val="301"/>
        </w:trPr>
        <w:tc>
          <w:tcPr>
            <w:tcW w:w="1526" w:type="dxa"/>
            <w:vMerge/>
            <w:shd w:val="clear" w:color="auto" w:fill="548DD4" w:themeFill="text2" w:themeFillTint="99"/>
          </w:tcPr>
          <w:p w:rsidR="00522446" w:rsidRPr="00122D0D" w:rsidRDefault="00522446" w:rsidP="00E8469F">
            <w:pPr>
              <w:rPr>
                <w:b/>
                <w:color w:val="F2F2F2" w:themeColor="background1" w:themeShade="F2"/>
              </w:rPr>
            </w:pPr>
          </w:p>
        </w:tc>
        <w:tc>
          <w:tcPr>
            <w:tcW w:w="1559" w:type="dxa"/>
            <w:vMerge/>
          </w:tcPr>
          <w:p w:rsidR="00522446" w:rsidRDefault="00522446" w:rsidP="00E8469F"/>
        </w:tc>
        <w:tc>
          <w:tcPr>
            <w:tcW w:w="4111" w:type="dxa"/>
          </w:tcPr>
          <w:p w:rsidR="00526F6C" w:rsidRDefault="003F5F69" w:rsidP="00E8469F">
            <w:r w:rsidRPr="00045B12">
              <w:rPr>
                <w:rFonts w:ascii="Calibri" w:hAnsi="Calibri" w:cs="Calibri"/>
                <w:color w:val="000000"/>
              </w:rPr>
              <w:t xml:space="preserve">Single point of contact for incoming and outgoing communications and support for the SEND Regional </w:t>
            </w:r>
            <w:r w:rsidR="00E62BD3">
              <w:rPr>
                <w:rFonts w:ascii="Calibri" w:hAnsi="Calibri" w:cs="Calibri"/>
                <w:color w:val="000000"/>
              </w:rPr>
              <w:t>Networks</w:t>
            </w:r>
            <w:r w:rsidRPr="00045B12">
              <w:rPr>
                <w:rFonts w:ascii="Calibri" w:hAnsi="Calibri" w:cs="Calibri"/>
                <w:color w:val="000000"/>
              </w:rPr>
              <w:t xml:space="preserve"> via a phone and email helpdesk.</w:t>
            </w:r>
          </w:p>
        </w:tc>
        <w:tc>
          <w:tcPr>
            <w:tcW w:w="10064" w:type="dxa"/>
          </w:tcPr>
          <w:p w:rsidR="00E62BD3" w:rsidRDefault="003F5F69" w:rsidP="006D7983">
            <w:pPr>
              <w:pStyle w:val="ListParagraph"/>
              <w:numPr>
                <w:ilvl w:val="0"/>
                <w:numId w:val="10"/>
              </w:numPr>
              <w:autoSpaceDE w:val="0"/>
              <w:autoSpaceDN w:val="0"/>
              <w:adjustRightInd w:val="0"/>
              <w:rPr>
                <w:rFonts w:ascii="Calibri" w:hAnsi="Calibri" w:cs="Calibri"/>
                <w:color w:val="000000"/>
              </w:rPr>
            </w:pPr>
            <w:r w:rsidRPr="00E62BD3">
              <w:rPr>
                <w:rFonts w:ascii="Calibri" w:hAnsi="Calibri" w:cs="Calibri"/>
                <w:color w:val="000000"/>
              </w:rPr>
              <w:t xml:space="preserve">Facilitation of cross regional interactions between networks. </w:t>
            </w:r>
          </w:p>
          <w:p w:rsidR="003F5F69" w:rsidRPr="00E62BD3" w:rsidRDefault="003F5F69" w:rsidP="006D7983">
            <w:pPr>
              <w:pStyle w:val="ListParagraph"/>
              <w:numPr>
                <w:ilvl w:val="0"/>
                <w:numId w:val="10"/>
              </w:numPr>
              <w:autoSpaceDE w:val="0"/>
              <w:autoSpaceDN w:val="0"/>
              <w:adjustRightInd w:val="0"/>
              <w:rPr>
                <w:rFonts w:ascii="Calibri" w:hAnsi="Calibri" w:cs="Calibri"/>
                <w:color w:val="000000"/>
              </w:rPr>
            </w:pPr>
            <w:r w:rsidRPr="00E62BD3">
              <w:rPr>
                <w:rFonts w:ascii="Calibri" w:hAnsi="Calibri" w:cs="Calibri"/>
                <w:color w:val="000000"/>
              </w:rPr>
              <w:t>Sharing of national messages to SEND Regional Leads</w:t>
            </w:r>
            <w:r w:rsidR="00E62BD3">
              <w:rPr>
                <w:rFonts w:ascii="Calibri" w:hAnsi="Calibri" w:cs="Calibri"/>
                <w:color w:val="000000"/>
              </w:rPr>
              <w:t xml:space="preserve"> to cascade</w:t>
            </w:r>
            <w:r w:rsidRPr="00E62BD3">
              <w:rPr>
                <w:rFonts w:ascii="Calibri" w:hAnsi="Calibri" w:cs="Calibri"/>
                <w:color w:val="000000"/>
              </w:rPr>
              <w:t xml:space="preserve">. </w:t>
            </w:r>
          </w:p>
          <w:p w:rsidR="00522446" w:rsidRDefault="00522446" w:rsidP="00045B12">
            <w:pPr>
              <w:tabs>
                <w:tab w:val="left" w:pos="1421"/>
              </w:tabs>
            </w:pPr>
          </w:p>
          <w:p w:rsidR="00036069" w:rsidRPr="00045B12" w:rsidRDefault="00036069" w:rsidP="00036069"/>
        </w:tc>
        <w:tc>
          <w:tcPr>
            <w:tcW w:w="3563" w:type="dxa"/>
            <w:vMerge/>
          </w:tcPr>
          <w:p w:rsidR="00522446" w:rsidRDefault="00522446" w:rsidP="00E8469F"/>
        </w:tc>
      </w:tr>
      <w:tr w:rsidR="006D7983" w:rsidTr="005C005B">
        <w:tc>
          <w:tcPr>
            <w:tcW w:w="1526" w:type="dxa"/>
            <w:vMerge w:val="restart"/>
            <w:shd w:val="clear" w:color="auto" w:fill="548DD4" w:themeFill="text2" w:themeFillTint="99"/>
          </w:tcPr>
          <w:p w:rsidR="006D7983" w:rsidRPr="00122D0D" w:rsidRDefault="006D7983" w:rsidP="006D7983">
            <w:pPr>
              <w:rPr>
                <w:b/>
                <w:color w:val="F2F2F2" w:themeColor="background1" w:themeShade="F2"/>
              </w:rPr>
            </w:pPr>
            <w:r w:rsidRPr="00036069">
              <w:rPr>
                <w:b/>
                <w:color w:val="F2F2F2" w:themeColor="background1" w:themeShade="F2"/>
              </w:rPr>
              <w:t>Joint working with transitions</w:t>
            </w:r>
          </w:p>
        </w:tc>
        <w:tc>
          <w:tcPr>
            <w:tcW w:w="1559" w:type="dxa"/>
            <w:vMerge w:val="restart"/>
          </w:tcPr>
          <w:p w:rsidR="006D7983" w:rsidRPr="00CD253F" w:rsidRDefault="006D7983" w:rsidP="006D7983">
            <w:r w:rsidRPr="00CD253F">
              <w:t>Council for disabled Children (DBOT)</w:t>
            </w:r>
          </w:p>
        </w:tc>
        <w:tc>
          <w:tcPr>
            <w:tcW w:w="4111" w:type="dxa"/>
          </w:tcPr>
          <w:p w:rsidR="006D7983" w:rsidRDefault="006D7983" w:rsidP="006D7983">
            <w:pPr>
              <w:rPr>
                <w:rFonts w:ascii="Calibri" w:hAnsi="Calibri"/>
              </w:rPr>
            </w:pPr>
            <w:r w:rsidRPr="0090539F">
              <w:rPr>
                <w:rFonts w:ascii="Calibri" w:hAnsi="Calibri"/>
              </w:rPr>
              <w:t>A total of 9 regional workshops (1 per Local area) for health and local authority commissioners</w:t>
            </w:r>
            <w:r>
              <w:rPr>
                <w:rFonts w:ascii="Calibri" w:hAnsi="Calibri"/>
              </w:rPr>
              <w:t xml:space="preserve">, with Parent Carer Forum representation. </w:t>
            </w:r>
          </w:p>
          <w:p w:rsidR="006D7983" w:rsidRPr="0090539F" w:rsidRDefault="006D7983" w:rsidP="006D7983">
            <w:pPr>
              <w:rPr>
                <w:rFonts w:ascii="Calibri" w:hAnsi="Calibri"/>
              </w:rPr>
            </w:pPr>
          </w:p>
        </w:tc>
        <w:tc>
          <w:tcPr>
            <w:tcW w:w="10064" w:type="dxa"/>
          </w:tcPr>
          <w:p w:rsidR="006D7983" w:rsidRPr="006D7983" w:rsidRDefault="006D7983" w:rsidP="006D7983">
            <w:pPr>
              <w:pStyle w:val="ListParagraph"/>
              <w:numPr>
                <w:ilvl w:val="0"/>
                <w:numId w:val="10"/>
              </w:numPr>
              <w:rPr>
                <w:rFonts w:ascii="Calibri" w:hAnsi="Calibri"/>
              </w:rPr>
            </w:pPr>
            <w:r w:rsidRPr="006D7983">
              <w:rPr>
                <w:rFonts w:ascii="Calibri" w:hAnsi="Calibri"/>
              </w:rPr>
              <w:t>These workshops will focus on inspection, self-evaluation and audit to support commissioners in understanding how best to use the LA and CCG audit tools to prepare for the Local Area SEND inspections and plan for improvement</w:t>
            </w:r>
          </w:p>
          <w:p w:rsidR="006D7983" w:rsidRPr="0090539F" w:rsidRDefault="006D7983" w:rsidP="006D7983">
            <w:pPr>
              <w:rPr>
                <w:rFonts w:ascii="Calibri" w:hAnsi="Calibri"/>
              </w:rPr>
            </w:pPr>
          </w:p>
        </w:tc>
        <w:tc>
          <w:tcPr>
            <w:tcW w:w="3563" w:type="dxa"/>
          </w:tcPr>
          <w:p w:rsidR="006D7983" w:rsidRDefault="006D7983" w:rsidP="006D7983">
            <w:r>
              <w:t>CDC will liaise with Regional Leads to agree dates and locations for these sessions. Discussions are already taking place. Venue costs are included in offer of support.</w:t>
            </w:r>
          </w:p>
          <w:p w:rsidR="006D7983" w:rsidRPr="00320A7F" w:rsidRDefault="006D7983" w:rsidP="006D7983"/>
        </w:tc>
      </w:tr>
      <w:tr w:rsidR="006D7983" w:rsidTr="005C005B">
        <w:tc>
          <w:tcPr>
            <w:tcW w:w="1526" w:type="dxa"/>
            <w:vMerge/>
            <w:shd w:val="clear" w:color="auto" w:fill="548DD4" w:themeFill="text2" w:themeFillTint="99"/>
          </w:tcPr>
          <w:p w:rsidR="006D7983" w:rsidRPr="00122D0D" w:rsidRDefault="006D7983" w:rsidP="006D7983">
            <w:pPr>
              <w:rPr>
                <w:b/>
                <w:color w:val="F2F2F2" w:themeColor="background1" w:themeShade="F2"/>
              </w:rPr>
            </w:pPr>
          </w:p>
        </w:tc>
        <w:tc>
          <w:tcPr>
            <w:tcW w:w="1559" w:type="dxa"/>
            <w:vMerge/>
          </w:tcPr>
          <w:p w:rsidR="006D7983" w:rsidRDefault="006D7983" w:rsidP="006D7983"/>
        </w:tc>
        <w:tc>
          <w:tcPr>
            <w:tcW w:w="4111" w:type="dxa"/>
          </w:tcPr>
          <w:p w:rsidR="006D7983" w:rsidRPr="0090539F" w:rsidRDefault="006D7983" w:rsidP="006D7983">
            <w:pPr>
              <w:rPr>
                <w:rFonts w:ascii="Calibri" w:hAnsi="Calibri"/>
              </w:rPr>
            </w:pPr>
            <w:r w:rsidRPr="0090539F">
              <w:rPr>
                <w:rFonts w:ascii="Calibri" w:hAnsi="Calibri"/>
              </w:rPr>
              <w:t>Flexible days (</w:t>
            </w:r>
            <w:r>
              <w:rPr>
                <w:rFonts w:ascii="Calibri" w:hAnsi="Calibri"/>
              </w:rPr>
              <w:t>Delivered on regional basis and allocated according to local need</w:t>
            </w:r>
            <w:r w:rsidRPr="0090539F">
              <w:rPr>
                <w:rFonts w:ascii="Calibri" w:hAnsi="Calibri"/>
              </w:rPr>
              <w:t>)</w:t>
            </w:r>
            <w:r>
              <w:rPr>
                <w:rFonts w:ascii="Calibri" w:hAnsi="Calibri"/>
              </w:rPr>
              <w:t>.</w:t>
            </w:r>
          </w:p>
          <w:p w:rsidR="006D7983" w:rsidRPr="0090539F" w:rsidRDefault="006D7983" w:rsidP="006D7983">
            <w:pPr>
              <w:rPr>
                <w:rFonts w:ascii="Calibri" w:hAnsi="Calibri" w:cs="Arial"/>
              </w:rPr>
            </w:pPr>
            <w:r w:rsidRPr="0090539F">
              <w:rPr>
                <w:rFonts w:ascii="Calibri" w:hAnsi="Calibri"/>
              </w:rPr>
              <w:t xml:space="preserve"> </w:t>
            </w:r>
          </w:p>
        </w:tc>
        <w:tc>
          <w:tcPr>
            <w:tcW w:w="10064" w:type="dxa"/>
          </w:tcPr>
          <w:p w:rsidR="006D7983" w:rsidRPr="00363B8B" w:rsidRDefault="006D7983" w:rsidP="006D7983">
            <w:pPr>
              <w:pStyle w:val="ListParagraph"/>
              <w:numPr>
                <w:ilvl w:val="0"/>
                <w:numId w:val="10"/>
              </w:numPr>
              <w:rPr>
                <w:rFonts w:ascii="Calibri" w:hAnsi="Calibri"/>
              </w:rPr>
            </w:pPr>
            <w:r w:rsidRPr="006D7983">
              <w:rPr>
                <w:rFonts w:ascii="Calibri" w:hAnsi="Calibri"/>
              </w:rPr>
              <w:t>Flexible days to support local areas in delivering the integrated working model required by the SEND reforms from a flexible menu of options. This could include area workshops, action planning, targeted interventions, and specifically targeted resources and support.</w:t>
            </w:r>
          </w:p>
          <w:p w:rsidR="006D7983" w:rsidRPr="006D7983" w:rsidRDefault="006D7983" w:rsidP="006D7983">
            <w:pPr>
              <w:pStyle w:val="ListParagraph"/>
              <w:numPr>
                <w:ilvl w:val="0"/>
                <w:numId w:val="10"/>
              </w:numPr>
              <w:rPr>
                <w:rFonts w:ascii="Calibri" w:hAnsi="Calibri"/>
              </w:rPr>
            </w:pPr>
            <w:r w:rsidRPr="006D7983">
              <w:rPr>
                <w:rFonts w:ascii="Calibri" w:hAnsi="Calibri"/>
              </w:rPr>
              <w:t xml:space="preserve">Within this allocation </w:t>
            </w:r>
            <w:proofErr w:type="spellStart"/>
            <w:r w:rsidRPr="006D7983">
              <w:rPr>
                <w:rFonts w:ascii="Calibri" w:hAnsi="Calibri"/>
              </w:rPr>
              <w:t>NDTi</w:t>
            </w:r>
            <w:proofErr w:type="spellEnd"/>
            <w:r w:rsidRPr="006D7983">
              <w:rPr>
                <w:rFonts w:ascii="Calibri" w:hAnsi="Calibri"/>
              </w:rPr>
              <w:t xml:space="preserve"> have some flexible days for areas wishing to focus on transition to adult health and social care services.</w:t>
            </w:r>
          </w:p>
          <w:p w:rsidR="006D7983" w:rsidRPr="0090539F" w:rsidRDefault="006D7983" w:rsidP="006D7983">
            <w:pPr>
              <w:rPr>
                <w:rFonts w:ascii="Calibri" w:hAnsi="Calibri"/>
              </w:rPr>
            </w:pPr>
          </w:p>
        </w:tc>
        <w:tc>
          <w:tcPr>
            <w:tcW w:w="3563" w:type="dxa"/>
          </w:tcPr>
          <w:p w:rsidR="006D7983" w:rsidRDefault="006D7983" w:rsidP="006D7983">
            <w:r>
              <w:t xml:space="preserve">Following regional workshops, CDC will work with Regional Leads to understand need in local areas and how best to use this resource. </w:t>
            </w:r>
          </w:p>
          <w:p w:rsidR="005A57C1" w:rsidRDefault="005A57C1" w:rsidP="006D7983"/>
          <w:p w:rsidR="006D7983" w:rsidRDefault="005A57C1" w:rsidP="006D7983">
            <w:r>
              <w:t>They</w:t>
            </w:r>
            <w:r w:rsidR="006D7983">
              <w:t xml:space="preserve"> will also work with areas post-inspection, which have been </w:t>
            </w:r>
            <w:r w:rsidR="006D7983">
              <w:lastRenderedPageBreak/>
              <w:t xml:space="preserve">identified as needing further support. </w:t>
            </w:r>
            <w:r>
              <w:t xml:space="preserve">They </w:t>
            </w:r>
            <w:r w:rsidR="006D7983">
              <w:t xml:space="preserve">will work with Regional Leads and </w:t>
            </w:r>
            <w:proofErr w:type="spellStart"/>
            <w:r w:rsidR="006D7983">
              <w:t>DfE</w:t>
            </w:r>
            <w:proofErr w:type="spellEnd"/>
            <w:r w:rsidR="006D7983">
              <w:t xml:space="preserve"> SEND Advisors to identify areas. </w:t>
            </w:r>
          </w:p>
          <w:p w:rsidR="006D7983" w:rsidRDefault="006D7983" w:rsidP="006D7983"/>
        </w:tc>
      </w:tr>
      <w:tr w:rsidR="006D7983" w:rsidTr="005C005B">
        <w:tc>
          <w:tcPr>
            <w:tcW w:w="1526" w:type="dxa"/>
            <w:vMerge/>
            <w:shd w:val="clear" w:color="auto" w:fill="548DD4" w:themeFill="text2" w:themeFillTint="99"/>
          </w:tcPr>
          <w:p w:rsidR="006D7983" w:rsidRPr="00122D0D" w:rsidRDefault="006D7983" w:rsidP="006D7983">
            <w:pPr>
              <w:rPr>
                <w:b/>
                <w:color w:val="F2F2F2" w:themeColor="background1" w:themeShade="F2"/>
              </w:rPr>
            </w:pPr>
          </w:p>
        </w:tc>
        <w:tc>
          <w:tcPr>
            <w:tcW w:w="1559" w:type="dxa"/>
            <w:vMerge/>
          </w:tcPr>
          <w:p w:rsidR="006D7983" w:rsidRDefault="006D7983" w:rsidP="006D7983"/>
        </w:tc>
        <w:tc>
          <w:tcPr>
            <w:tcW w:w="4111" w:type="dxa"/>
          </w:tcPr>
          <w:p w:rsidR="006D7983" w:rsidRPr="0090539F" w:rsidRDefault="006D7983" w:rsidP="006D7983">
            <w:pPr>
              <w:rPr>
                <w:rFonts w:ascii="Calibri" w:hAnsi="Calibri" w:cs="Arial"/>
              </w:rPr>
            </w:pPr>
            <w:r w:rsidRPr="0090539F">
              <w:rPr>
                <w:rFonts w:ascii="Calibri" w:hAnsi="Calibri" w:cs="Arial"/>
              </w:rPr>
              <w:t xml:space="preserve">6 </w:t>
            </w:r>
            <w:r w:rsidRPr="00F0633E">
              <w:rPr>
                <w:rFonts w:ascii="Calibri" w:hAnsi="Calibri" w:cs="Arial"/>
              </w:rPr>
              <w:t>national</w:t>
            </w:r>
            <w:r w:rsidRPr="0090539F">
              <w:rPr>
                <w:rFonts w:ascii="Calibri" w:hAnsi="Calibri" w:cs="Arial"/>
              </w:rPr>
              <w:t xml:space="preserve"> Accelerated Working Groups (AWGs)</w:t>
            </w:r>
            <w:r>
              <w:rPr>
                <w:rFonts w:ascii="Calibri" w:hAnsi="Calibri" w:cs="Arial"/>
              </w:rPr>
              <w:t xml:space="preserve"> for identified LA and health colleagues from local areas and national partners. </w:t>
            </w:r>
          </w:p>
          <w:p w:rsidR="006D7983" w:rsidRPr="0090539F" w:rsidRDefault="006D7983" w:rsidP="006D7983">
            <w:pPr>
              <w:rPr>
                <w:rFonts w:ascii="Calibri" w:hAnsi="Calibri"/>
              </w:rPr>
            </w:pPr>
          </w:p>
        </w:tc>
        <w:tc>
          <w:tcPr>
            <w:tcW w:w="10064" w:type="dxa"/>
          </w:tcPr>
          <w:p w:rsidR="006D7983" w:rsidRDefault="006D7983" w:rsidP="006D7983">
            <w:pPr>
              <w:pStyle w:val="ListParagraph"/>
              <w:numPr>
                <w:ilvl w:val="0"/>
                <w:numId w:val="29"/>
              </w:numPr>
              <w:rPr>
                <w:rFonts w:ascii="Calibri" w:hAnsi="Calibri"/>
              </w:rPr>
            </w:pPr>
            <w:r w:rsidRPr="00363B8B">
              <w:rPr>
                <w:rFonts w:ascii="Calibri" w:hAnsi="Calibri"/>
              </w:rPr>
              <w:t>The purpose of these AWGs is to identify practice based solutions for a number of issues identified by local areas as problematic and inform the production of products/resources to help local areas address these issues. Each group will meet twice in the year (Q2 and Q4). Topics to be covered include:</w:t>
            </w:r>
          </w:p>
          <w:p w:rsidR="00363B8B" w:rsidRPr="00363B8B" w:rsidRDefault="00363B8B" w:rsidP="00363B8B">
            <w:pPr>
              <w:pStyle w:val="ListParagraph"/>
              <w:ind w:left="360"/>
              <w:rPr>
                <w:rFonts w:ascii="Calibri" w:hAnsi="Calibri"/>
              </w:rPr>
            </w:pPr>
          </w:p>
          <w:p w:rsidR="006D7983" w:rsidRPr="00F0633E" w:rsidRDefault="006D7983" w:rsidP="006D7983">
            <w:pPr>
              <w:pStyle w:val="ListParagraph"/>
              <w:numPr>
                <w:ilvl w:val="0"/>
                <w:numId w:val="14"/>
              </w:numPr>
            </w:pPr>
            <w:r w:rsidRPr="00F0633E">
              <w:t>Systematic information and data sharing across agencies, including digital solutions to support good quality individual advice</w:t>
            </w:r>
          </w:p>
          <w:p w:rsidR="006D7983" w:rsidRPr="00F0633E" w:rsidRDefault="006D7983" w:rsidP="006D7983">
            <w:pPr>
              <w:pStyle w:val="ListParagraph"/>
              <w:numPr>
                <w:ilvl w:val="0"/>
                <w:numId w:val="14"/>
              </w:numPr>
            </w:pPr>
            <w:r w:rsidRPr="00F0633E">
              <w:t>Personalisation, including personal budgets and Integrated Personal Commissioning</w:t>
            </w:r>
          </w:p>
          <w:p w:rsidR="006D7983" w:rsidRPr="00F0633E" w:rsidRDefault="006D7983" w:rsidP="006D7983">
            <w:pPr>
              <w:pStyle w:val="ListParagraph"/>
              <w:numPr>
                <w:ilvl w:val="0"/>
                <w:numId w:val="14"/>
              </w:numPr>
            </w:pPr>
            <w:r w:rsidRPr="00F0633E">
              <w:t>Commissioning for outcomes</w:t>
            </w:r>
          </w:p>
          <w:p w:rsidR="006D7983" w:rsidRPr="00F0633E" w:rsidRDefault="006D7983" w:rsidP="006D7983">
            <w:pPr>
              <w:pStyle w:val="ListParagraph"/>
              <w:numPr>
                <w:ilvl w:val="0"/>
                <w:numId w:val="14"/>
              </w:numPr>
            </w:pPr>
            <w:r w:rsidRPr="00F0633E">
              <w:t>Ensuring alignment of key change programmes relevant to SEND</w:t>
            </w:r>
          </w:p>
          <w:p w:rsidR="006D7983" w:rsidRPr="00F0633E" w:rsidRDefault="006D7983" w:rsidP="006D7983">
            <w:pPr>
              <w:pStyle w:val="ListParagraph"/>
              <w:numPr>
                <w:ilvl w:val="0"/>
                <w:numId w:val="14"/>
              </w:numPr>
            </w:pPr>
            <w:r w:rsidRPr="00F0633E">
              <w:t xml:space="preserve">Transitions between children’s and adult’s services across health and social care.  To be focussed on 19-25 cohort (Transition AWG led by </w:t>
            </w:r>
            <w:proofErr w:type="spellStart"/>
            <w:r w:rsidRPr="00F0633E">
              <w:t>NDTi</w:t>
            </w:r>
            <w:proofErr w:type="spellEnd"/>
            <w:r w:rsidRPr="00F0633E">
              <w:t>)</w:t>
            </w:r>
          </w:p>
          <w:p w:rsidR="006D7983" w:rsidRPr="00F0633E" w:rsidRDefault="006D7983" w:rsidP="006D7983">
            <w:pPr>
              <w:pStyle w:val="ListParagraph"/>
              <w:numPr>
                <w:ilvl w:val="0"/>
                <w:numId w:val="14"/>
              </w:numPr>
            </w:pPr>
            <w:r w:rsidRPr="00F0633E">
              <w:t xml:space="preserve">Leadership (Leadership AWG to be led by </w:t>
            </w:r>
            <w:proofErr w:type="spellStart"/>
            <w:r w:rsidRPr="00F0633E">
              <w:t>NDTi</w:t>
            </w:r>
            <w:proofErr w:type="spellEnd"/>
            <w:r w:rsidRPr="00F0633E">
              <w:t>)</w:t>
            </w:r>
          </w:p>
          <w:p w:rsidR="006D7983" w:rsidRPr="0090539F" w:rsidRDefault="006D7983" w:rsidP="006D7983">
            <w:pPr>
              <w:rPr>
                <w:rFonts w:ascii="Calibri" w:hAnsi="Calibri"/>
              </w:rPr>
            </w:pPr>
          </w:p>
        </w:tc>
        <w:tc>
          <w:tcPr>
            <w:tcW w:w="3563" w:type="dxa"/>
          </w:tcPr>
          <w:p w:rsidR="006D7983" w:rsidRDefault="006D7983" w:rsidP="006D7983">
            <w:r w:rsidRPr="00F0633E">
              <w:t>Using intelligence gathered at regional workshops and through Regi</w:t>
            </w:r>
            <w:r>
              <w:t>o</w:t>
            </w:r>
            <w:r w:rsidRPr="00F0633E">
              <w:t>nal Leads</w:t>
            </w:r>
            <w:r>
              <w:t xml:space="preserve">, </w:t>
            </w:r>
            <w:r w:rsidR="005A57C1">
              <w:t xml:space="preserve">CDC </w:t>
            </w:r>
            <w:r>
              <w:t>will invite key stakeholders from local areas, national programmes and partners, to be involved and share effective practice/solutions. If someone from a local area would like to be involved, please contact the CDC representative for your region via the</w:t>
            </w:r>
            <w:r w:rsidR="005A57C1">
              <w:t xml:space="preserve"> </w:t>
            </w:r>
            <w:r>
              <w:t>Regional Lead.</w:t>
            </w:r>
          </w:p>
        </w:tc>
      </w:tr>
      <w:tr w:rsidR="006D7983" w:rsidTr="005C005B">
        <w:tc>
          <w:tcPr>
            <w:tcW w:w="1526" w:type="dxa"/>
            <w:vMerge/>
            <w:shd w:val="clear" w:color="auto" w:fill="548DD4" w:themeFill="text2" w:themeFillTint="99"/>
          </w:tcPr>
          <w:p w:rsidR="006D7983" w:rsidRPr="00122D0D" w:rsidRDefault="006D7983" w:rsidP="006D7983">
            <w:pPr>
              <w:rPr>
                <w:b/>
                <w:color w:val="F2F2F2" w:themeColor="background1" w:themeShade="F2"/>
              </w:rPr>
            </w:pPr>
          </w:p>
        </w:tc>
        <w:tc>
          <w:tcPr>
            <w:tcW w:w="1559" w:type="dxa"/>
            <w:vMerge/>
          </w:tcPr>
          <w:p w:rsidR="006D7983" w:rsidRDefault="006D7983" w:rsidP="006D7983"/>
        </w:tc>
        <w:tc>
          <w:tcPr>
            <w:tcW w:w="4111" w:type="dxa"/>
          </w:tcPr>
          <w:p w:rsidR="006D7983" w:rsidRPr="0090539F" w:rsidRDefault="006D7983" w:rsidP="006D7983">
            <w:pPr>
              <w:rPr>
                <w:rFonts w:ascii="Calibri" w:hAnsi="Calibri" w:cs="Arial"/>
              </w:rPr>
            </w:pPr>
            <w:r w:rsidRPr="0090539F">
              <w:rPr>
                <w:rFonts w:ascii="Calibri" w:hAnsi="Calibri"/>
              </w:rPr>
              <w:t xml:space="preserve">A further 9 regional workshops (1 per area) </w:t>
            </w:r>
            <w:r w:rsidRPr="00F0633E">
              <w:rPr>
                <w:rFonts w:ascii="Calibri" w:hAnsi="Calibri"/>
              </w:rPr>
              <w:t xml:space="preserve">or equivalent regional flexible days.  </w:t>
            </w:r>
          </w:p>
        </w:tc>
        <w:tc>
          <w:tcPr>
            <w:tcW w:w="10064" w:type="dxa"/>
          </w:tcPr>
          <w:p w:rsidR="006D7983" w:rsidRPr="006D7983" w:rsidRDefault="006D7983" w:rsidP="006D7983">
            <w:pPr>
              <w:pStyle w:val="ListParagraph"/>
              <w:numPr>
                <w:ilvl w:val="0"/>
                <w:numId w:val="16"/>
              </w:numPr>
              <w:ind w:left="360"/>
              <w:rPr>
                <w:rFonts w:ascii="Calibri" w:hAnsi="Calibri"/>
              </w:rPr>
            </w:pPr>
            <w:r w:rsidRPr="006D7983">
              <w:rPr>
                <w:rFonts w:ascii="Calibri" w:hAnsi="Calibri"/>
              </w:rPr>
              <w:t xml:space="preserve">An offer of a workshop in each region to enable face to face sharing of the learning and products from the AWGs and </w:t>
            </w:r>
            <w:r w:rsidRPr="006D7983">
              <w:rPr>
                <w:rFonts w:ascii="Calibri" w:hAnsi="Calibri" w:cs="Arial"/>
              </w:rPr>
              <w:t>the local areas who have drawn down consultancy days</w:t>
            </w:r>
            <w:r w:rsidRPr="006D7983">
              <w:rPr>
                <w:rFonts w:ascii="Calibri" w:hAnsi="Calibri"/>
              </w:rPr>
              <w:t xml:space="preserve">.  </w:t>
            </w:r>
          </w:p>
          <w:p w:rsidR="006D7983" w:rsidRPr="006D7983" w:rsidRDefault="006D7983" w:rsidP="006D7983">
            <w:pPr>
              <w:pStyle w:val="ListParagraph"/>
              <w:numPr>
                <w:ilvl w:val="0"/>
                <w:numId w:val="16"/>
              </w:numPr>
              <w:ind w:left="360"/>
              <w:rPr>
                <w:rFonts w:ascii="Calibri" w:hAnsi="Calibri" w:cs="Arial"/>
              </w:rPr>
            </w:pPr>
            <w:r w:rsidRPr="006D7983">
              <w:rPr>
                <w:rFonts w:ascii="Calibri" w:hAnsi="Calibri"/>
              </w:rPr>
              <w:t xml:space="preserve">An alternative offer of drawing down training or consultancy days to meet regionally identified needs in </w:t>
            </w:r>
            <w:r w:rsidRPr="006D7983">
              <w:rPr>
                <w:rFonts w:ascii="Calibri" w:hAnsi="Calibri" w:cs="Arial"/>
              </w:rPr>
              <w:t>tackling implementation issues.</w:t>
            </w:r>
          </w:p>
          <w:p w:rsidR="006D7983" w:rsidRPr="0090539F" w:rsidRDefault="006D7983" w:rsidP="006D7983">
            <w:pPr>
              <w:rPr>
                <w:rFonts w:ascii="Calibri" w:hAnsi="Calibri"/>
              </w:rPr>
            </w:pPr>
          </w:p>
        </w:tc>
        <w:tc>
          <w:tcPr>
            <w:tcW w:w="3563" w:type="dxa"/>
          </w:tcPr>
          <w:p w:rsidR="006D7983" w:rsidRDefault="006D7983" w:rsidP="006D7983">
            <w:r w:rsidRPr="00E70506">
              <w:t xml:space="preserve">Working with Regional Leads </w:t>
            </w:r>
            <w:r w:rsidR="005A57C1">
              <w:t>CDC</w:t>
            </w:r>
            <w:r>
              <w:t xml:space="preserve"> will establish whether there is appetite for a further regional session or if further flexible days would be more useful.</w:t>
            </w:r>
          </w:p>
        </w:tc>
      </w:tr>
      <w:tr w:rsidR="00B303C6" w:rsidTr="005C005B">
        <w:tc>
          <w:tcPr>
            <w:tcW w:w="1526" w:type="dxa"/>
            <w:vMerge w:val="restart"/>
            <w:shd w:val="clear" w:color="auto" w:fill="548DD4" w:themeFill="text2" w:themeFillTint="99"/>
          </w:tcPr>
          <w:p w:rsidR="00B303C6" w:rsidRPr="00122D0D" w:rsidRDefault="003D507E" w:rsidP="00B303C6">
            <w:pPr>
              <w:rPr>
                <w:b/>
                <w:color w:val="F2F2F2" w:themeColor="background1" w:themeShade="F2"/>
              </w:rPr>
            </w:pPr>
            <w:r>
              <w:rPr>
                <w:b/>
                <w:color w:val="F2F2F2" w:themeColor="background1" w:themeShade="F2"/>
              </w:rPr>
              <w:t>Preparing for Adulthood</w:t>
            </w:r>
            <w:r w:rsidR="005A57C1">
              <w:rPr>
                <w:b/>
                <w:color w:val="F2F2F2" w:themeColor="background1" w:themeShade="F2"/>
              </w:rPr>
              <w:t xml:space="preserve"> (</w:t>
            </w:r>
            <w:proofErr w:type="spellStart"/>
            <w:r w:rsidR="005A57C1">
              <w:rPr>
                <w:b/>
                <w:color w:val="F2F2F2" w:themeColor="background1" w:themeShade="F2"/>
              </w:rPr>
              <w:t>PfA</w:t>
            </w:r>
            <w:proofErr w:type="spellEnd"/>
            <w:r w:rsidR="005A57C1">
              <w:rPr>
                <w:b/>
                <w:color w:val="F2F2F2" w:themeColor="background1" w:themeShade="F2"/>
              </w:rPr>
              <w:t>)</w:t>
            </w:r>
          </w:p>
        </w:tc>
        <w:tc>
          <w:tcPr>
            <w:tcW w:w="1559" w:type="dxa"/>
            <w:vMerge w:val="restart"/>
          </w:tcPr>
          <w:p w:rsidR="00B303C6" w:rsidRDefault="00B303C6" w:rsidP="00B303C6">
            <w:r>
              <w:t xml:space="preserve">Preparing for Adulthood </w:t>
            </w:r>
            <w:r w:rsidRPr="00C95BBA">
              <w:t>(DBOT)</w:t>
            </w:r>
          </w:p>
        </w:tc>
        <w:tc>
          <w:tcPr>
            <w:tcW w:w="4111" w:type="dxa"/>
          </w:tcPr>
          <w:p w:rsidR="00B303C6" w:rsidRDefault="00B303C6" w:rsidP="00B303C6">
            <w:pPr>
              <w:pStyle w:val="Default"/>
            </w:pPr>
            <w:r>
              <w:rPr>
                <w:sz w:val="22"/>
                <w:szCs w:val="22"/>
              </w:rPr>
              <w:t xml:space="preserve">Liaison with Regional Leads to support them in integrating the </w:t>
            </w:r>
            <w:proofErr w:type="spellStart"/>
            <w:r>
              <w:rPr>
                <w:sz w:val="22"/>
                <w:szCs w:val="22"/>
              </w:rPr>
              <w:t>PfA</w:t>
            </w:r>
            <w:proofErr w:type="spellEnd"/>
            <w:r>
              <w:rPr>
                <w:sz w:val="22"/>
                <w:szCs w:val="22"/>
              </w:rPr>
              <w:t xml:space="preserve"> agenda within regional networks and activity. </w:t>
            </w:r>
          </w:p>
          <w:p w:rsidR="00B303C6" w:rsidRDefault="00B303C6" w:rsidP="00B303C6">
            <w:pPr>
              <w:ind w:left="360"/>
            </w:pPr>
          </w:p>
        </w:tc>
        <w:tc>
          <w:tcPr>
            <w:tcW w:w="10064" w:type="dxa"/>
          </w:tcPr>
          <w:p w:rsidR="00B303C6" w:rsidRPr="00884B53" w:rsidRDefault="00B303C6" w:rsidP="003D507E">
            <w:pPr>
              <w:pStyle w:val="Default"/>
              <w:numPr>
                <w:ilvl w:val="0"/>
                <w:numId w:val="22"/>
              </w:numPr>
              <w:rPr>
                <w:sz w:val="22"/>
                <w:szCs w:val="22"/>
              </w:rPr>
            </w:pPr>
            <w:r w:rsidRPr="00884B53">
              <w:rPr>
                <w:sz w:val="22"/>
                <w:szCs w:val="22"/>
              </w:rPr>
              <w:t xml:space="preserve">Attendance at meetings with regional leads, </w:t>
            </w:r>
            <w:proofErr w:type="spellStart"/>
            <w:r w:rsidRPr="00884B53">
              <w:rPr>
                <w:sz w:val="22"/>
                <w:szCs w:val="22"/>
              </w:rPr>
              <w:t>telekits</w:t>
            </w:r>
            <w:proofErr w:type="spellEnd"/>
            <w:r w:rsidRPr="00884B53">
              <w:rPr>
                <w:sz w:val="22"/>
                <w:szCs w:val="22"/>
              </w:rPr>
              <w:t xml:space="preserve"> or other network meetings where most appropriate. </w:t>
            </w:r>
          </w:p>
          <w:p w:rsidR="00B303C6" w:rsidRDefault="00B303C6" w:rsidP="00B303C6">
            <w:pPr>
              <w:pStyle w:val="ListParagraph"/>
              <w:ind w:left="360"/>
            </w:pPr>
          </w:p>
          <w:p w:rsidR="00B303C6" w:rsidRDefault="00B303C6" w:rsidP="00B303C6">
            <w:pPr>
              <w:tabs>
                <w:tab w:val="center" w:pos="4513"/>
                <w:tab w:val="right" w:pos="9026"/>
              </w:tabs>
            </w:pPr>
          </w:p>
        </w:tc>
        <w:tc>
          <w:tcPr>
            <w:tcW w:w="3563" w:type="dxa"/>
            <w:vMerge w:val="restart"/>
          </w:tcPr>
          <w:p w:rsidR="003D507E" w:rsidRDefault="003D507E" w:rsidP="003D507E">
            <w:proofErr w:type="spellStart"/>
            <w:r>
              <w:t>PfA</w:t>
            </w:r>
            <w:proofErr w:type="spellEnd"/>
            <w:r>
              <w:t xml:space="preserve"> regional contacts:</w:t>
            </w:r>
          </w:p>
          <w:p w:rsidR="003D507E" w:rsidRDefault="003D507E" w:rsidP="00B303C6"/>
          <w:p w:rsidR="00B303C6" w:rsidRPr="003D507E" w:rsidRDefault="003D507E" w:rsidP="00B303C6">
            <w:pPr>
              <w:rPr>
                <w:b/>
              </w:rPr>
            </w:pPr>
            <w:r w:rsidRPr="003D507E">
              <w:rPr>
                <w:b/>
              </w:rPr>
              <w:t>NE and Y&amp;H</w:t>
            </w:r>
          </w:p>
          <w:p w:rsidR="003D507E" w:rsidRDefault="003D507E" w:rsidP="00B303C6">
            <w:r>
              <w:t>Pat Bullen</w:t>
            </w:r>
          </w:p>
          <w:p w:rsidR="003D507E" w:rsidRDefault="00900B28" w:rsidP="00B303C6">
            <w:hyperlink r:id="rId14" w:history="1">
              <w:r w:rsidR="003D507E" w:rsidRPr="003D507E">
                <w:rPr>
                  <w:rStyle w:val="Hyperlink"/>
                </w:rPr>
                <w:t>Pat.Bullen@ndti.org.uk</w:t>
              </w:r>
            </w:hyperlink>
          </w:p>
          <w:p w:rsidR="003D507E" w:rsidRDefault="003D507E" w:rsidP="00B303C6"/>
          <w:p w:rsidR="003D507E" w:rsidRPr="003D507E" w:rsidRDefault="003D507E" w:rsidP="00B303C6">
            <w:pPr>
              <w:rPr>
                <w:b/>
              </w:rPr>
            </w:pPr>
            <w:r w:rsidRPr="003D507E">
              <w:rPr>
                <w:b/>
              </w:rPr>
              <w:t>NW and London</w:t>
            </w:r>
          </w:p>
          <w:p w:rsidR="003D507E" w:rsidRDefault="003D507E" w:rsidP="00B303C6">
            <w:r>
              <w:t>Linda Jordan</w:t>
            </w:r>
          </w:p>
          <w:p w:rsidR="003D507E" w:rsidRDefault="00900B28" w:rsidP="00B303C6">
            <w:hyperlink r:id="rId15" w:history="1">
              <w:r w:rsidR="003D507E" w:rsidRPr="00594E2E">
                <w:rPr>
                  <w:rStyle w:val="Hyperlink"/>
                </w:rPr>
                <w:t>Linda.Jordan@ndti.org.uk</w:t>
              </w:r>
            </w:hyperlink>
          </w:p>
          <w:p w:rsidR="003D507E" w:rsidRDefault="003D507E" w:rsidP="00B303C6"/>
          <w:p w:rsidR="003D507E" w:rsidRPr="003D507E" w:rsidRDefault="003D507E" w:rsidP="00B303C6">
            <w:pPr>
              <w:rPr>
                <w:b/>
              </w:rPr>
            </w:pPr>
            <w:r w:rsidRPr="003D507E">
              <w:rPr>
                <w:b/>
              </w:rPr>
              <w:t>WM and SW</w:t>
            </w:r>
          </w:p>
          <w:p w:rsidR="00B303C6" w:rsidRDefault="00B303C6" w:rsidP="00B303C6">
            <w:r>
              <w:t>Carol Robinson</w:t>
            </w:r>
          </w:p>
          <w:p w:rsidR="003D507E" w:rsidRDefault="00900B28" w:rsidP="00B303C6">
            <w:hyperlink r:id="rId16" w:history="1">
              <w:r w:rsidR="003D507E" w:rsidRPr="00594E2E">
                <w:rPr>
                  <w:rStyle w:val="Hyperlink"/>
                </w:rPr>
                <w:t>Carol.Robinson@ndti.org.uk</w:t>
              </w:r>
            </w:hyperlink>
          </w:p>
          <w:p w:rsidR="003D507E" w:rsidRDefault="003D507E" w:rsidP="00B303C6"/>
          <w:p w:rsidR="003D507E" w:rsidRPr="003D507E" w:rsidRDefault="003D507E" w:rsidP="00B303C6">
            <w:pPr>
              <w:rPr>
                <w:b/>
              </w:rPr>
            </w:pPr>
            <w:r w:rsidRPr="003D507E">
              <w:rPr>
                <w:b/>
              </w:rPr>
              <w:t>SE</w:t>
            </w:r>
          </w:p>
          <w:p w:rsidR="003D507E" w:rsidRDefault="003D507E" w:rsidP="00B303C6">
            <w:r>
              <w:t>Julie Pointer</w:t>
            </w:r>
          </w:p>
          <w:p w:rsidR="003D507E" w:rsidRDefault="00900B28" w:rsidP="00B303C6">
            <w:hyperlink r:id="rId17" w:history="1">
              <w:r w:rsidR="003D507E" w:rsidRPr="00594E2E">
                <w:rPr>
                  <w:rStyle w:val="Hyperlink"/>
                </w:rPr>
                <w:t>Julie.Pointer@ndti.org.uk</w:t>
              </w:r>
            </w:hyperlink>
          </w:p>
          <w:p w:rsidR="003D507E" w:rsidRDefault="003D507E" w:rsidP="00B303C6"/>
          <w:p w:rsidR="003D507E" w:rsidRPr="003D507E" w:rsidRDefault="003D507E" w:rsidP="00B303C6">
            <w:pPr>
              <w:rPr>
                <w:b/>
              </w:rPr>
            </w:pPr>
            <w:r w:rsidRPr="003D507E">
              <w:rPr>
                <w:b/>
              </w:rPr>
              <w:t xml:space="preserve">EM and </w:t>
            </w:r>
            <w:proofErr w:type="spellStart"/>
            <w:r w:rsidRPr="003D507E">
              <w:rPr>
                <w:b/>
              </w:rPr>
              <w:t>EoE</w:t>
            </w:r>
            <w:proofErr w:type="spellEnd"/>
          </w:p>
          <w:p w:rsidR="00B303C6" w:rsidRDefault="00B303C6" w:rsidP="00B303C6">
            <w:r>
              <w:t>Ellen Atkinson</w:t>
            </w:r>
          </w:p>
          <w:p w:rsidR="003D507E" w:rsidRDefault="00900B28" w:rsidP="00B303C6">
            <w:hyperlink r:id="rId18" w:history="1">
              <w:r w:rsidR="003D507E" w:rsidRPr="00594E2E">
                <w:rPr>
                  <w:rStyle w:val="Hyperlink"/>
                </w:rPr>
                <w:t>Ellen.Atkinson@ndti.org.uk</w:t>
              </w:r>
            </w:hyperlink>
          </w:p>
          <w:p w:rsidR="003D507E" w:rsidRPr="00002AD0" w:rsidRDefault="003D507E" w:rsidP="00B303C6"/>
        </w:tc>
      </w:tr>
      <w:tr w:rsidR="00B303C6" w:rsidTr="005C005B">
        <w:tc>
          <w:tcPr>
            <w:tcW w:w="1526" w:type="dxa"/>
            <w:vMerge/>
            <w:shd w:val="clear" w:color="auto" w:fill="548DD4" w:themeFill="text2" w:themeFillTint="99"/>
          </w:tcPr>
          <w:p w:rsidR="00B303C6" w:rsidRPr="00122D0D" w:rsidRDefault="00B303C6" w:rsidP="00B303C6">
            <w:pPr>
              <w:rPr>
                <w:b/>
                <w:color w:val="F2F2F2" w:themeColor="background1" w:themeShade="F2"/>
              </w:rPr>
            </w:pPr>
          </w:p>
        </w:tc>
        <w:tc>
          <w:tcPr>
            <w:tcW w:w="1559" w:type="dxa"/>
            <w:vMerge/>
          </w:tcPr>
          <w:p w:rsidR="00B303C6" w:rsidRDefault="00B303C6" w:rsidP="00B303C6"/>
        </w:tc>
        <w:tc>
          <w:tcPr>
            <w:tcW w:w="4111" w:type="dxa"/>
          </w:tcPr>
          <w:p w:rsidR="00B303C6" w:rsidRDefault="00B303C6" w:rsidP="00B303C6">
            <w:pPr>
              <w:tabs>
                <w:tab w:val="center" w:pos="4513"/>
                <w:tab w:val="right" w:pos="9026"/>
              </w:tabs>
            </w:pPr>
            <w:r>
              <w:t>50 flexible support days in total to be shared across all 9 regions based on need</w:t>
            </w:r>
          </w:p>
        </w:tc>
        <w:tc>
          <w:tcPr>
            <w:tcW w:w="10064" w:type="dxa"/>
          </w:tcPr>
          <w:p w:rsidR="00B303C6" w:rsidRPr="003D507E" w:rsidRDefault="00B303C6" w:rsidP="003D507E">
            <w:pPr>
              <w:pStyle w:val="ListParagraph"/>
              <w:numPr>
                <w:ilvl w:val="0"/>
                <w:numId w:val="25"/>
              </w:numPr>
              <w:rPr>
                <w:rFonts w:eastAsia="Calibri"/>
              </w:rPr>
            </w:pPr>
            <w:r w:rsidRPr="003D507E">
              <w:rPr>
                <w:rFonts w:eastAsia="Calibri"/>
              </w:rPr>
              <w:t xml:space="preserve">Delivery of support days decided through Team around the Region meetings or monthly regional </w:t>
            </w:r>
            <w:proofErr w:type="spellStart"/>
            <w:r w:rsidRPr="003D507E">
              <w:rPr>
                <w:rFonts w:eastAsia="Calibri"/>
              </w:rPr>
              <w:t>telekits</w:t>
            </w:r>
            <w:proofErr w:type="spellEnd"/>
            <w:r w:rsidRPr="003D507E">
              <w:rPr>
                <w:rFonts w:eastAsia="Calibri"/>
              </w:rPr>
              <w:t xml:space="preserve">. </w:t>
            </w:r>
          </w:p>
          <w:p w:rsidR="00B303C6" w:rsidRPr="003D507E" w:rsidRDefault="00B303C6" w:rsidP="003D507E">
            <w:pPr>
              <w:pStyle w:val="ListParagraph"/>
              <w:numPr>
                <w:ilvl w:val="0"/>
                <w:numId w:val="25"/>
              </w:numPr>
              <w:rPr>
                <w:rFonts w:eastAsia="Calibri"/>
              </w:rPr>
            </w:pPr>
            <w:r w:rsidRPr="003D507E">
              <w:rPr>
                <w:rFonts w:eastAsia="Calibri"/>
              </w:rPr>
              <w:t xml:space="preserve">Days to be selected from a menu of support but will include key themes relating to </w:t>
            </w:r>
            <w:proofErr w:type="spellStart"/>
            <w:r w:rsidRPr="003D507E">
              <w:rPr>
                <w:rFonts w:eastAsia="Calibri"/>
              </w:rPr>
              <w:t>PfA</w:t>
            </w:r>
            <w:proofErr w:type="spellEnd"/>
            <w:r w:rsidRPr="003D507E">
              <w:rPr>
                <w:rFonts w:eastAsia="Calibri"/>
              </w:rPr>
              <w:t>, for example:</w:t>
            </w:r>
          </w:p>
          <w:p w:rsidR="00B303C6" w:rsidRPr="00DB375D" w:rsidRDefault="00B303C6" w:rsidP="003D507E">
            <w:pPr>
              <w:numPr>
                <w:ilvl w:val="0"/>
                <w:numId w:val="19"/>
              </w:numPr>
              <w:rPr>
                <w:rFonts w:eastAsia="Calibri"/>
              </w:rPr>
            </w:pPr>
            <w:r w:rsidRPr="00DB375D">
              <w:rPr>
                <w:rFonts w:eastAsia="Calibri"/>
              </w:rPr>
              <w:t xml:space="preserve">Employment </w:t>
            </w:r>
          </w:p>
          <w:p w:rsidR="00B303C6" w:rsidRPr="00DB375D" w:rsidRDefault="00B303C6" w:rsidP="003D507E">
            <w:pPr>
              <w:numPr>
                <w:ilvl w:val="0"/>
                <w:numId w:val="19"/>
              </w:numPr>
              <w:rPr>
                <w:rFonts w:eastAsia="Calibri"/>
              </w:rPr>
            </w:pPr>
            <w:proofErr w:type="spellStart"/>
            <w:r w:rsidRPr="00DB375D">
              <w:rPr>
                <w:rFonts w:eastAsia="Calibri"/>
              </w:rPr>
              <w:t>PfA</w:t>
            </w:r>
            <w:proofErr w:type="spellEnd"/>
            <w:r w:rsidRPr="00DB375D">
              <w:rPr>
                <w:rFonts w:eastAsia="Calibri"/>
              </w:rPr>
              <w:t xml:space="preserve"> from the earliest years </w:t>
            </w:r>
          </w:p>
          <w:p w:rsidR="00B303C6" w:rsidRPr="00DB375D" w:rsidRDefault="00B303C6" w:rsidP="003D507E">
            <w:pPr>
              <w:numPr>
                <w:ilvl w:val="0"/>
                <w:numId w:val="19"/>
              </w:numPr>
              <w:rPr>
                <w:rFonts w:eastAsia="Calibri"/>
              </w:rPr>
            </w:pPr>
            <w:r w:rsidRPr="00DB375D">
              <w:rPr>
                <w:rFonts w:eastAsia="Calibri"/>
              </w:rPr>
              <w:t xml:space="preserve">Independent living </w:t>
            </w:r>
          </w:p>
          <w:p w:rsidR="00B303C6" w:rsidRPr="002412B6" w:rsidRDefault="00B303C6" w:rsidP="003D507E">
            <w:pPr>
              <w:numPr>
                <w:ilvl w:val="0"/>
                <w:numId w:val="19"/>
              </w:numPr>
              <w:rPr>
                <w:rFonts w:ascii="Calibri" w:eastAsia="Calibri" w:hAnsi="Calibri" w:cs="Times New Roman"/>
              </w:rPr>
            </w:pPr>
            <w:r w:rsidRPr="00DB375D">
              <w:rPr>
                <w:rFonts w:eastAsia="Calibri"/>
              </w:rPr>
              <w:t xml:space="preserve">Engagement of parent/carers and children and young people </w:t>
            </w:r>
          </w:p>
          <w:p w:rsidR="00B303C6" w:rsidRPr="00DB375D" w:rsidRDefault="00B303C6" w:rsidP="003D507E">
            <w:pPr>
              <w:numPr>
                <w:ilvl w:val="0"/>
                <w:numId w:val="19"/>
              </w:numPr>
              <w:rPr>
                <w:rFonts w:ascii="Calibri" w:eastAsia="Calibri" w:hAnsi="Calibri" w:cs="Times New Roman"/>
              </w:rPr>
            </w:pPr>
            <w:r>
              <w:rPr>
                <w:rFonts w:eastAsia="Calibri"/>
              </w:rPr>
              <w:t>Friends, relationships and community</w:t>
            </w:r>
          </w:p>
          <w:p w:rsidR="00B303C6" w:rsidRDefault="00B303C6" w:rsidP="00B303C6">
            <w:pPr>
              <w:pStyle w:val="ListParagraph"/>
              <w:ind w:left="360"/>
            </w:pPr>
          </w:p>
        </w:tc>
        <w:tc>
          <w:tcPr>
            <w:tcW w:w="3563" w:type="dxa"/>
            <w:vMerge/>
          </w:tcPr>
          <w:p w:rsidR="00B303C6" w:rsidRPr="00002AD0" w:rsidRDefault="00B303C6" w:rsidP="00B303C6"/>
        </w:tc>
      </w:tr>
      <w:tr w:rsidR="00B303C6" w:rsidTr="005C005B">
        <w:tc>
          <w:tcPr>
            <w:tcW w:w="1526" w:type="dxa"/>
            <w:vMerge/>
            <w:shd w:val="clear" w:color="auto" w:fill="548DD4" w:themeFill="text2" w:themeFillTint="99"/>
          </w:tcPr>
          <w:p w:rsidR="00B303C6" w:rsidRPr="00122D0D" w:rsidRDefault="00B303C6" w:rsidP="00B303C6">
            <w:pPr>
              <w:rPr>
                <w:b/>
                <w:color w:val="F2F2F2" w:themeColor="background1" w:themeShade="F2"/>
              </w:rPr>
            </w:pPr>
          </w:p>
        </w:tc>
        <w:tc>
          <w:tcPr>
            <w:tcW w:w="1559" w:type="dxa"/>
            <w:vMerge/>
          </w:tcPr>
          <w:p w:rsidR="00B303C6" w:rsidRDefault="00B303C6" w:rsidP="00B303C6"/>
        </w:tc>
        <w:tc>
          <w:tcPr>
            <w:tcW w:w="4111" w:type="dxa"/>
          </w:tcPr>
          <w:p w:rsidR="00B303C6" w:rsidRDefault="00B303C6" w:rsidP="00B303C6">
            <w:pPr>
              <w:pStyle w:val="Default"/>
            </w:pPr>
            <w:r w:rsidRPr="00AC72AB">
              <w:rPr>
                <w:sz w:val="22"/>
                <w:szCs w:val="22"/>
              </w:rPr>
              <w:t xml:space="preserve">Support in holding 2 </w:t>
            </w:r>
            <w:proofErr w:type="spellStart"/>
            <w:r w:rsidRPr="00AC72AB">
              <w:rPr>
                <w:sz w:val="22"/>
                <w:szCs w:val="22"/>
              </w:rPr>
              <w:t>PfA</w:t>
            </w:r>
            <w:proofErr w:type="spellEnd"/>
            <w:r w:rsidRPr="00AC72AB">
              <w:rPr>
                <w:sz w:val="22"/>
                <w:szCs w:val="22"/>
              </w:rPr>
              <w:t xml:space="preserve"> Learning network meetings in each region</w:t>
            </w:r>
            <w:r w:rsidRPr="00884B53">
              <w:rPr>
                <w:sz w:val="22"/>
                <w:szCs w:val="22"/>
              </w:rPr>
              <w:t xml:space="preserve"> </w:t>
            </w:r>
          </w:p>
          <w:p w:rsidR="00B303C6" w:rsidRPr="00DB375D" w:rsidRDefault="00B303C6" w:rsidP="00B303C6">
            <w:pPr>
              <w:rPr>
                <w:rFonts w:eastAsia="Calibri"/>
                <w:b/>
              </w:rPr>
            </w:pPr>
          </w:p>
        </w:tc>
        <w:tc>
          <w:tcPr>
            <w:tcW w:w="10064" w:type="dxa"/>
          </w:tcPr>
          <w:p w:rsidR="00B303C6" w:rsidRPr="003D507E" w:rsidRDefault="00B303C6" w:rsidP="003D507E">
            <w:pPr>
              <w:pStyle w:val="ListParagraph"/>
              <w:numPr>
                <w:ilvl w:val="0"/>
                <w:numId w:val="21"/>
              </w:numPr>
              <w:tabs>
                <w:tab w:val="center" w:pos="4513"/>
                <w:tab w:val="right" w:pos="9026"/>
              </w:tabs>
              <w:rPr>
                <w:rFonts w:eastAsia="Calibri"/>
              </w:rPr>
            </w:pPr>
            <w:r w:rsidRPr="003D507E">
              <w:rPr>
                <w:rFonts w:eastAsia="Calibri"/>
              </w:rPr>
              <w:t xml:space="preserve">Supporting practitioners across the region to build on existing networks and maintain sustainable </w:t>
            </w:r>
            <w:proofErr w:type="spellStart"/>
            <w:r w:rsidRPr="003D507E">
              <w:rPr>
                <w:rFonts w:eastAsia="Calibri"/>
              </w:rPr>
              <w:t>PfA</w:t>
            </w:r>
            <w:proofErr w:type="spellEnd"/>
            <w:r w:rsidRPr="003D507E">
              <w:rPr>
                <w:rFonts w:eastAsia="Calibri"/>
              </w:rPr>
              <w:t xml:space="preserve"> networks going forward to enable ongoing peer learning in relation to </w:t>
            </w:r>
            <w:proofErr w:type="spellStart"/>
            <w:r w:rsidRPr="003D507E">
              <w:rPr>
                <w:rFonts w:eastAsia="Calibri"/>
              </w:rPr>
              <w:t>PfA</w:t>
            </w:r>
            <w:proofErr w:type="spellEnd"/>
            <w:r w:rsidRPr="003D507E">
              <w:rPr>
                <w:rFonts w:eastAsia="Calibri"/>
              </w:rPr>
              <w:t>.</w:t>
            </w:r>
          </w:p>
          <w:p w:rsidR="00B303C6" w:rsidRPr="00DB375D" w:rsidRDefault="00B303C6" w:rsidP="00B303C6">
            <w:pPr>
              <w:rPr>
                <w:rFonts w:eastAsia="Calibri"/>
              </w:rPr>
            </w:pPr>
          </w:p>
        </w:tc>
        <w:tc>
          <w:tcPr>
            <w:tcW w:w="3563" w:type="dxa"/>
            <w:vMerge/>
          </w:tcPr>
          <w:p w:rsidR="00B303C6" w:rsidRPr="00002AD0" w:rsidRDefault="00B303C6" w:rsidP="00B303C6"/>
        </w:tc>
      </w:tr>
      <w:tr w:rsidR="00B303C6" w:rsidTr="005C005B">
        <w:tc>
          <w:tcPr>
            <w:tcW w:w="1526" w:type="dxa"/>
            <w:vMerge/>
            <w:shd w:val="clear" w:color="auto" w:fill="548DD4" w:themeFill="text2" w:themeFillTint="99"/>
          </w:tcPr>
          <w:p w:rsidR="00B303C6" w:rsidRPr="00122D0D" w:rsidRDefault="00B303C6" w:rsidP="00B303C6">
            <w:pPr>
              <w:rPr>
                <w:b/>
                <w:color w:val="F2F2F2" w:themeColor="background1" w:themeShade="F2"/>
              </w:rPr>
            </w:pPr>
          </w:p>
        </w:tc>
        <w:tc>
          <w:tcPr>
            <w:tcW w:w="1559" w:type="dxa"/>
            <w:vMerge/>
          </w:tcPr>
          <w:p w:rsidR="00B303C6" w:rsidRDefault="00B303C6" w:rsidP="00B303C6"/>
        </w:tc>
        <w:tc>
          <w:tcPr>
            <w:tcW w:w="4111" w:type="dxa"/>
          </w:tcPr>
          <w:p w:rsidR="00B303C6" w:rsidRDefault="00B303C6" w:rsidP="00B303C6">
            <w:pPr>
              <w:rPr>
                <w:rFonts w:eastAsia="Calibri"/>
              </w:rPr>
            </w:pPr>
            <w:r w:rsidRPr="00D179AB">
              <w:rPr>
                <w:rFonts w:eastAsia="Calibri"/>
              </w:rPr>
              <w:t xml:space="preserve">Sharing information and advice on </w:t>
            </w:r>
            <w:proofErr w:type="spellStart"/>
            <w:r w:rsidRPr="00D179AB">
              <w:rPr>
                <w:rFonts w:eastAsia="Calibri"/>
              </w:rPr>
              <w:t>PfA</w:t>
            </w:r>
            <w:proofErr w:type="spellEnd"/>
            <w:r w:rsidRPr="00D179AB">
              <w:rPr>
                <w:rFonts w:eastAsia="Calibri"/>
              </w:rPr>
              <w:t xml:space="preserve"> and best practice</w:t>
            </w:r>
            <w:r>
              <w:rPr>
                <w:rFonts w:eastAsia="Calibri"/>
              </w:rPr>
              <w:t xml:space="preserve"> through: </w:t>
            </w:r>
          </w:p>
          <w:p w:rsidR="00B303C6" w:rsidRPr="004D7AE7" w:rsidRDefault="00B303C6" w:rsidP="00B303C6">
            <w:pPr>
              <w:rPr>
                <w:rFonts w:eastAsia="Calibri"/>
              </w:rPr>
            </w:pPr>
          </w:p>
          <w:p w:rsidR="00B303C6" w:rsidRDefault="00B303C6" w:rsidP="00B303C6">
            <w:pPr>
              <w:pStyle w:val="Default"/>
              <w:numPr>
                <w:ilvl w:val="0"/>
                <w:numId w:val="17"/>
              </w:numPr>
              <w:rPr>
                <w:sz w:val="22"/>
                <w:szCs w:val="22"/>
              </w:rPr>
            </w:pPr>
            <w:r w:rsidRPr="004D7AE7">
              <w:rPr>
                <w:sz w:val="22"/>
                <w:szCs w:val="22"/>
              </w:rPr>
              <w:t>Sharing best practice from demonstration sites</w:t>
            </w:r>
          </w:p>
          <w:p w:rsidR="00B303C6" w:rsidRDefault="00B303C6" w:rsidP="00B303C6">
            <w:pPr>
              <w:pStyle w:val="Default"/>
              <w:numPr>
                <w:ilvl w:val="0"/>
                <w:numId w:val="17"/>
              </w:numPr>
              <w:rPr>
                <w:sz w:val="22"/>
                <w:szCs w:val="22"/>
              </w:rPr>
            </w:pPr>
            <w:proofErr w:type="spellStart"/>
            <w:r>
              <w:rPr>
                <w:sz w:val="22"/>
                <w:szCs w:val="22"/>
              </w:rPr>
              <w:t>PfA</w:t>
            </w:r>
            <w:proofErr w:type="spellEnd"/>
            <w:r>
              <w:rPr>
                <w:sz w:val="22"/>
                <w:szCs w:val="22"/>
              </w:rPr>
              <w:t xml:space="preserve"> website, twitter and YouTube </w:t>
            </w:r>
          </w:p>
          <w:p w:rsidR="00B303C6" w:rsidRDefault="00B303C6" w:rsidP="00B303C6">
            <w:pPr>
              <w:pStyle w:val="Default"/>
              <w:numPr>
                <w:ilvl w:val="0"/>
                <w:numId w:val="17"/>
              </w:numPr>
              <w:rPr>
                <w:sz w:val="22"/>
                <w:szCs w:val="22"/>
              </w:rPr>
            </w:pPr>
            <w:r>
              <w:rPr>
                <w:sz w:val="22"/>
                <w:szCs w:val="22"/>
              </w:rPr>
              <w:t xml:space="preserve">Publication of Bi-annually e-bulletin </w:t>
            </w:r>
          </w:p>
          <w:p w:rsidR="00B303C6" w:rsidRPr="00B303C6" w:rsidRDefault="00B303C6" w:rsidP="00B303C6">
            <w:pPr>
              <w:pStyle w:val="Default"/>
              <w:numPr>
                <w:ilvl w:val="0"/>
                <w:numId w:val="17"/>
              </w:numPr>
              <w:rPr>
                <w:sz w:val="22"/>
                <w:szCs w:val="22"/>
              </w:rPr>
            </w:pPr>
            <w:r>
              <w:rPr>
                <w:sz w:val="22"/>
                <w:szCs w:val="22"/>
              </w:rPr>
              <w:t xml:space="preserve">Host and manage a national information email and telephone line. </w:t>
            </w:r>
          </w:p>
        </w:tc>
        <w:tc>
          <w:tcPr>
            <w:tcW w:w="10064" w:type="dxa"/>
          </w:tcPr>
          <w:p w:rsidR="00B303C6" w:rsidRPr="00363B8B" w:rsidRDefault="00B303C6" w:rsidP="00363B8B">
            <w:pPr>
              <w:rPr>
                <w:rFonts w:eastAsia="Calibri"/>
              </w:rPr>
            </w:pPr>
            <w:r w:rsidRPr="00363B8B">
              <w:rPr>
                <w:rFonts w:eastAsia="Calibri"/>
              </w:rPr>
              <w:t>Resources used to share information:</w:t>
            </w:r>
          </w:p>
          <w:p w:rsidR="00B303C6" w:rsidRPr="00363B8B" w:rsidRDefault="00B303C6" w:rsidP="00363B8B">
            <w:pPr>
              <w:pStyle w:val="ListParagraph"/>
              <w:rPr>
                <w:rFonts w:eastAsia="Calibri"/>
              </w:rPr>
            </w:pPr>
          </w:p>
          <w:p w:rsidR="00B303C6" w:rsidRPr="004D7AE7" w:rsidRDefault="00B303C6" w:rsidP="003D507E">
            <w:pPr>
              <w:pStyle w:val="ListParagraph"/>
              <w:numPr>
                <w:ilvl w:val="0"/>
                <w:numId w:val="23"/>
              </w:numPr>
              <w:rPr>
                <w:rFonts w:eastAsia="Calibri"/>
              </w:rPr>
            </w:pPr>
            <w:r w:rsidRPr="004D7AE7">
              <w:rPr>
                <w:rFonts w:eastAsia="Calibri"/>
              </w:rPr>
              <w:t>www.preparingforadulthood.org.uk</w:t>
            </w:r>
          </w:p>
          <w:p w:rsidR="00B303C6" w:rsidRPr="004D7AE7" w:rsidRDefault="00B303C6" w:rsidP="003D507E">
            <w:pPr>
              <w:pStyle w:val="ListParagraph"/>
              <w:numPr>
                <w:ilvl w:val="0"/>
                <w:numId w:val="23"/>
              </w:numPr>
              <w:rPr>
                <w:rFonts w:eastAsia="Calibri"/>
              </w:rPr>
            </w:pPr>
            <w:r>
              <w:rPr>
                <w:rFonts w:eastAsia="Calibri"/>
              </w:rPr>
              <w:t>@</w:t>
            </w:r>
            <w:proofErr w:type="spellStart"/>
            <w:r>
              <w:rPr>
                <w:rFonts w:eastAsia="Calibri"/>
              </w:rPr>
              <w:t>pfa</w:t>
            </w:r>
            <w:proofErr w:type="spellEnd"/>
            <w:r>
              <w:rPr>
                <w:rFonts w:eastAsia="Calibri"/>
              </w:rPr>
              <w:t xml:space="preserve"> </w:t>
            </w:r>
            <w:r w:rsidRPr="004D7AE7">
              <w:rPr>
                <w:rFonts w:eastAsia="Calibri"/>
              </w:rPr>
              <w:t>tweets</w:t>
            </w:r>
          </w:p>
          <w:p w:rsidR="00B303C6" w:rsidRPr="004D7AE7" w:rsidRDefault="00B303C6" w:rsidP="003D507E">
            <w:pPr>
              <w:pStyle w:val="ListParagraph"/>
              <w:numPr>
                <w:ilvl w:val="0"/>
                <w:numId w:val="23"/>
              </w:numPr>
              <w:rPr>
                <w:rFonts w:eastAsia="Calibri"/>
              </w:rPr>
            </w:pPr>
            <w:r w:rsidRPr="004D7AE7">
              <w:rPr>
                <w:rFonts w:eastAsia="Calibri"/>
              </w:rPr>
              <w:t>https://www.youtube.com/user/PrepforAdulthood</w:t>
            </w:r>
          </w:p>
          <w:p w:rsidR="00B303C6" w:rsidRPr="004D7AE7" w:rsidRDefault="00B303C6" w:rsidP="003D507E">
            <w:pPr>
              <w:pStyle w:val="ListParagraph"/>
              <w:numPr>
                <w:ilvl w:val="0"/>
                <w:numId w:val="23"/>
              </w:numPr>
              <w:rPr>
                <w:rFonts w:eastAsia="Calibri"/>
              </w:rPr>
            </w:pPr>
            <w:r w:rsidRPr="004D7AE7">
              <w:rPr>
                <w:rFonts w:eastAsia="Calibri"/>
              </w:rPr>
              <w:t xml:space="preserve">Have you signed up to the </w:t>
            </w:r>
            <w:proofErr w:type="spellStart"/>
            <w:r w:rsidRPr="004D7AE7">
              <w:rPr>
                <w:rFonts w:eastAsia="Calibri"/>
              </w:rPr>
              <w:t>PfA</w:t>
            </w:r>
            <w:proofErr w:type="spellEnd"/>
            <w:r w:rsidRPr="004D7AE7">
              <w:rPr>
                <w:rFonts w:eastAsia="Calibri"/>
              </w:rPr>
              <w:t xml:space="preserve"> e-bulletin http://www.preparingforadulthood.org.uk/what-we-do/best-practice-and-information/e-bulletin which shares updates on issues relating to the </w:t>
            </w:r>
            <w:proofErr w:type="spellStart"/>
            <w:r w:rsidRPr="004D7AE7">
              <w:rPr>
                <w:rFonts w:eastAsia="Calibri"/>
              </w:rPr>
              <w:t>PfA</w:t>
            </w:r>
            <w:proofErr w:type="spellEnd"/>
            <w:r w:rsidRPr="004D7AE7">
              <w:rPr>
                <w:rFonts w:eastAsia="Calibri"/>
              </w:rPr>
              <w:t xml:space="preserve"> aspects of the reforms, learning from the programme and key resources.</w:t>
            </w:r>
          </w:p>
          <w:p w:rsidR="00B303C6" w:rsidRPr="004D7AE7" w:rsidRDefault="00B303C6" w:rsidP="003D507E">
            <w:pPr>
              <w:pStyle w:val="ListParagraph"/>
              <w:numPr>
                <w:ilvl w:val="0"/>
                <w:numId w:val="23"/>
              </w:numPr>
              <w:rPr>
                <w:rFonts w:eastAsia="Calibri"/>
              </w:rPr>
            </w:pPr>
            <w:r w:rsidRPr="004D7AE7">
              <w:rPr>
                <w:rFonts w:eastAsia="Calibri"/>
              </w:rPr>
              <w:t>Email: info@preparingforadulthood.org.uk</w:t>
            </w:r>
          </w:p>
          <w:p w:rsidR="00B303C6" w:rsidRDefault="00B303C6" w:rsidP="003D507E">
            <w:pPr>
              <w:pStyle w:val="ListParagraph"/>
              <w:numPr>
                <w:ilvl w:val="0"/>
                <w:numId w:val="23"/>
              </w:numPr>
            </w:pPr>
            <w:r>
              <w:rPr>
                <w:rFonts w:eastAsia="Calibri"/>
              </w:rPr>
              <w:t>Phone: 01225789135</w:t>
            </w:r>
          </w:p>
        </w:tc>
        <w:tc>
          <w:tcPr>
            <w:tcW w:w="3563" w:type="dxa"/>
            <w:vMerge/>
          </w:tcPr>
          <w:p w:rsidR="00B303C6" w:rsidRPr="00002AD0" w:rsidRDefault="00B303C6" w:rsidP="00B303C6"/>
        </w:tc>
      </w:tr>
      <w:tr w:rsidR="003D507E" w:rsidTr="005C005B">
        <w:tc>
          <w:tcPr>
            <w:tcW w:w="1526" w:type="dxa"/>
            <w:shd w:val="clear" w:color="auto" w:fill="548DD4" w:themeFill="text2" w:themeFillTint="99"/>
          </w:tcPr>
          <w:p w:rsidR="003D507E" w:rsidRPr="00122D0D" w:rsidRDefault="003D507E" w:rsidP="003D507E">
            <w:pPr>
              <w:rPr>
                <w:b/>
                <w:color w:val="F2F2F2" w:themeColor="background1" w:themeShade="F2"/>
              </w:rPr>
            </w:pPr>
            <w:r w:rsidRPr="00122D0D">
              <w:rPr>
                <w:b/>
                <w:color w:val="F2F2F2" w:themeColor="background1" w:themeShade="F2"/>
              </w:rPr>
              <w:t>SEND Adviser service</w:t>
            </w:r>
          </w:p>
        </w:tc>
        <w:tc>
          <w:tcPr>
            <w:tcW w:w="1559" w:type="dxa"/>
          </w:tcPr>
          <w:p w:rsidR="003D507E" w:rsidRDefault="003D507E" w:rsidP="003D507E">
            <w:r>
              <w:t xml:space="preserve">Mott MacDonald </w:t>
            </w:r>
            <w:r w:rsidRPr="00C95BBA">
              <w:lastRenderedPageBreak/>
              <w:t>(DBOT)</w:t>
            </w:r>
          </w:p>
        </w:tc>
        <w:tc>
          <w:tcPr>
            <w:tcW w:w="4111" w:type="dxa"/>
          </w:tcPr>
          <w:p w:rsidR="003D507E" w:rsidRDefault="003D507E" w:rsidP="003D507E">
            <w:r>
              <w:lastRenderedPageBreak/>
              <w:t xml:space="preserve">Support regional activity </w:t>
            </w:r>
          </w:p>
        </w:tc>
        <w:tc>
          <w:tcPr>
            <w:tcW w:w="10064" w:type="dxa"/>
          </w:tcPr>
          <w:p w:rsidR="003D507E" w:rsidRDefault="003D507E" w:rsidP="00363B8B">
            <w:pPr>
              <w:pStyle w:val="ListParagraph"/>
              <w:numPr>
                <w:ilvl w:val="0"/>
                <w:numId w:val="31"/>
              </w:numPr>
            </w:pPr>
            <w:r>
              <w:t>Each region will have access to a dedicated SEND Adviser to support the region.</w:t>
            </w:r>
          </w:p>
        </w:tc>
        <w:tc>
          <w:tcPr>
            <w:tcW w:w="3563" w:type="dxa"/>
          </w:tcPr>
          <w:p w:rsidR="003D507E" w:rsidRDefault="003D507E" w:rsidP="003D507E">
            <w:r>
              <w:t>SEND advisers for each region are as follows:</w:t>
            </w:r>
          </w:p>
          <w:p w:rsidR="003D507E" w:rsidRDefault="003D507E" w:rsidP="003D507E"/>
          <w:p w:rsidR="003D507E" w:rsidRDefault="003D507E" w:rsidP="003D507E">
            <w:proofErr w:type="spellStart"/>
            <w:r w:rsidRPr="00157F8F">
              <w:rPr>
                <w:b/>
              </w:rPr>
              <w:t>EoE</w:t>
            </w:r>
            <w:proofErr w:type="spellEnd"/>
            <w:r>
              <w:rPr>
                <w:b/>
              </w:rPr>
              <w:t xml:space="preserve"> and</w:t>
            </w:r>
            <w:r w:rsidRPr="00157F8F">
              <w:rPr>
                <w:b/>
              </w:rPr>
              <w:t xml:space="preserve"> EM </w:t>
            </w:r>
            <w:r>
              <w:t>- Charlie Palmer</w:t>
            </w:r>
          </w:p>
          <w:p w:rsidR="003D507E" w:rsidRPr="00157F8F" w:rsidRDefault="003D507E" w:rsidP="003D507E">
            <w:pPr>
              <w:rPr>
                <w:b/>
              </w:rPr>
            </w:pPr>
          </w:p>
          <w:p w:rsidR="003D507E" w:rsidRDefault="003D507E" w:rsidP="003D507E">
            <w:r w:rsidRPr="00157F8F">
              <w:rPr>
                <w:b/>
              </w:rPr>
              <w:t>NE and NW</w:t>
            </w:r>
            <w:r>
              <w:t xml:space="preserve"> - Cath Hitchen</w:t>
            </w:r>
          </w:p>
          <w:p w:rsidR="003D507E" w:rsidRPr="00157F8F" w:rsidRDefault="003D507E" w:rsidP="003D507E">
            <w:pPr>
              <w:rPr>
                <w:b/>
              </w:rPr>
            </w:pPr>
          </w:p>
          <w:p w:rsidR="003D507E" w:rsidRDefault="003D507E" w:rsidP="003D507E">
            <w:r w:rsidRPr="00157F8F">
              <w:rPr>
                <w:b/>
              </w:rPr>
              <w:t>Y&amp;H</w:t>
            </w:r>
            <w:r>
              <w:t xml:space="preserve"> - Elaine Baulcombe</w:t>
            </w:r>
          </w:p>
          <w:p w:rsidR="003D507E" w:rsidRPr="00157F8F" w:rsidRDefault="003D507E" w:rsidP="003D507E">
            <w:pPr>
              <w:rPr>
                <w:b/>
              </w:rPr>
            </w:pPr>
          </w:p>
          <w:p w:rsidR="003D507E" w:rsidRDefault="003D507E" w:rsidP="003D507E">
            <w:r w:rsidRPr="00157F8F">
              <w:rPr>
                <w:b/>
              </w:rPr>
              <w:t>SE and London</w:t>
            </w:r>
            <w:r>
              <w:t xml:space="preserve"> - André </w:t>
            </w:r>
            <w:proofErr w:type="spellStart"/>
            <w:r>
              <w:t>Imich</w:t>
            </w:r>
            <w:proofErr w:type="spellEnd"/>
          </w:p>
          <w:p w:rsidR="003D507E" w:rsidRPr="00157F8F" w:rsidRDefault="003D507E" w:rsidP="003D507E">
            <w:pPr>
              <w:rPr>
                <w:b/>
              </w:rPr>
            </w:pPr>
          </w:p>
          <w:p w:rsidR="003D507E" w:rsidRDefault="003D507E" w:rsidP="003D507E">
            <w:r w:rsidRPr="00157F8F">
              <w:rPr>
                <w:b/>
              </w:rPr>
              <w:t>SW</w:t>
            </w:r>
            <w:r>
              <w:rPr>
                <w:b/>
              </w:rPr>
              <w:t xml:space="preserve"> -</w:t>
            </w:r>
            <w:r>
              <w:t xml:space="preserve"> Anne Porter</w:t>
            </w:r>
          </w:p>
          <w:p w:rsidR="003D507E" w:rsidRDefault="003D507E" w:rsidP="003D507E"/>
          <w:p w:rsidR="003D507E" w:rsidRDefault="003D507E" w:rsidP="003D507E">
            <w:r w:rsidRPr="003D507E">
              <w:rPr>
                <w:b/>
              </w:rPr>
              <w:t>WM</w:t>
            </w:r>
            <w:r>
              <w:t xml:space="preserve"> – Steve Huggett</w:t>
            </w:r>
          </w:p>
          <w:p w:rsidR="003D507E" w:rsidRPr="00002AD0" w:rsidRDefault="003D507E" w:rsidP="003D507E"/>
        </w:tc>
      </w:tr>
      <w:tr w:rsidR="003D507E" w:rsidTr="00746872">
        <w:tc>
          <w:tcPr>
            <w:tcW w:w="1526" w:type="dxa"/>
            <w:vMerge w:val="restart"/>
            <w:shd w:val="clear" w:color="auto" w:fill="548DD4" w:themeFill="text2" w:themeFillTint="99"/>
          </w:tcPr>
          <w:p w:rsidR="003D507E" w:rsidRPr="00122D0D" w:rsidRDefault="003D507E" w:rsidP="003D507E">
            <w:pPr>
              <w:rPr>
                <w:b/>
                <w:color w:val="F2F2F2" w:themeColor="background1" w:themeShade="F2"/>
              </w:rPr>
            </w:pPr>
            <w:r w:rsidRPr="00122D0D">
              <w:rPr>
                <w:b/>
                <w:color w:val="F2F2F2" w:themeColor="background1" w:themeShade="F2"/>
              </w:rPr>
              <w:lastRenderedPageBreak/>
              <w:t>IASSN</w:t>
            </w:r>
          </w:p>
        </w:tc>
        <w:tc>
          <w:tcPr>
            <w:tcW w:w="1559" w:type="dxa"/>
            <w:vMerge w:val="restart"/>
          </w:tcPr>
          <w:p w:rsidR="003D507E" w:rsidRDefault="003D507E" w:rsidP="003D507E">
            <w:r>
              <w:t xml:space="preserve">Council for disabled Children </w:t>
            </w:r>
            <w:r w:rsidRPr="00C95BBA">
              <w:t>(DBOT)</w:t>
            </w:r>
          </w:p>
        </w:tc>
        <w:tc>
          <w:tcPr>
            <w:tcW w:w="14175" w:type="dxa"/>
            <w:gridSpan w:val="2"/>
            <w:shd w:val="clear" w:color="auto" w:fill="auto"/>
          </w:tcPr>
          <w:p w:rsidR="003D507E" w:rsidRPr="00FD674B" w:rsidRDefault="003D507E" w:rsidP="003D507E">
            <w:pPr>
              <w:rPr>
                <w:rFonts w:ascii="Calibri" w:hAnsi="Calibri"/>
                <w:b/>
              </w:rPr>
            </w:pPr>
            <w:r w:rsidRPr="00FD674B">
              <w:rPr>
                <w:rFonts w:ascii="Calibri" w:hAnsi="Calibri"/>
                <w:b/>
              </w:rPr>
              <w:t>This support offer is specifically for work with and on IASS</w:t>
            </w:r>
          </w:p>
          <w:p w:rsidR="003D507E" w:rsidRPr="00FD674B" w:rsidRDefault="003D507E" w:rsidP="003D507E">
            <w:pPr>
              <w:rPr>
                <w:rFonts w:ascii="Calibri" w:hAnsi="Calibri"/>
                <w:b/>
              </w:rPr>
            </w:pPr>
          </w:p>
        </w:tc>
        <w:tc>
          <w:tcPr>
            <w:tcW w:w="3563" w:type="dxa"/>
            <w:vMerge w:val="restart"/>
          </w:tcPr>
          <w:p w:rsidR="003D507E" w:rsidRPr="00FD674B" w:rsidRDefault="003D507E" w:rsidP="003D507E">
            <w:pPr>
              <w:rPr>
                <w:rFonts w:ascii="Calibri" w:hAnsi="Calibri"/>
                <w:b/>
              </w:rPr>
            </w:pPr>
            <w:r w:rsidRPr="003D507E">
              <w:rPr>
                <w:rFonts w:ascii="Calibri" w:hAnsi="Calibri"/>
              </w:rPr>
              <w:t xml:space="preserve">For more information contact </w:t>
            </w:r>
            <w:hyperlink r:id="rId19" w:history="1">
              <w:r>
                <w:rPr>
                  <w:rStyle w:val="Hyperlink"/>
                </w:rPr>
                <w:t>drussell@ncb.org.uk</w:t>
              </w:r>
            </w:hyperlink>
          </w:p>
          <w:p w:rsidR="003D507E" w:rsidRPr="00FD674B" w:rsidRDefault="003D507E" w:rsidP="003D507E">
            <w:pPr>
              <w:rPr>
                <w:rFonts w:ascii="Calibri" w:hAnsi="Calibri"/>
                <w:b/>
              </w:rPr>
            </w:pPr>
          </w:p>
        </w:tc>
      </w:tr>
      <w:tr w:rsidR="003D507E" w:rsidTr="00746872">
        <w:tc>
          <w:tcPr>
            <w:tcW w:w="1526" w:type="dxa"/>
            <w:vMerge/>
            <w:shd w:val="clear" w:color="auto" w:fill="548DD4" w:themeFill="text2" w:themeFillTint="99"/>
          </w:tcPr>
          <w:p w:rsidR="003D507E" w:rsidRPr="00122D0D" w:rsidRDefault="003D507E" w:rsidP="003D507E">
            <w:pPr>
              <w:rPr>
                <w:b/>
                <w:color w:val="F2F2F2" w:themeColor="background1" w:themeShade="F2"/>
              </w:rPr>
            </w:pPr>
          </w:p>
        </w:tc>
        <w:tc>
          <w:tcPr>
            <w:tcW w:w="1559" w:type="dxa"/>
            <w:vMerge/>
          </w:tcPr>
          <w:p w:rsidR="003D507E" w:rsidRDefault="003D507E" w:rsidP="003D507E"/>
        </w:tc>
        <w:tc>
          <w:tcPr>
            <w:tcW w:w="4111" w:type="dxa"/>
          </w:tcPr>
          <w:p w:rsidR="003D507E" w:rsidRPr="00FD674B" w:rsidRDefault="003D507E" w:rsidP="003D507E">
            <w:pPr>
              <w:pStyle w:val="Default"/>
              <w:rPr>
                <w:sz w:val="22"/>
                <w:szCs w:val="22"/>
              </w:rPr>
            </w:pPr>
            <w:r w:rsidRPr="00FD674B">
              <w:rPr>
                <w:sz w:val="22"/>
                <w:szCs w:val="22"/>
              </w:rPr>
              <w:t xml:space="preserve">Independent accredited legal training for all IASS </w:t>
            </w:r>
          </w:p>
        </w:tc>
        <w:tc>
          <w:tcPr>
            <w:tcW w:w="10064" w:type="dxa"/>
          </w:tcPr>
          <w:p w:rsidR="003D507E" w:rsidRPr="00FD674B" w:rsidRDefault="003D507E" w:rsidP="00746872">
            <w:pPr>
              <w:pStyle w:val="Default"/>
              <w:numPr>
                <w:ilvl w:val="0"/>
                <w:numId w:val="27"/>
              </w:numPr>
              <w:rPr>
                <w:sz w:val="22"/>
                <w:szCs w:val="22"/>
              </w:rPr>
            </w:pPr>
            <w:r w:rsidRPr="00FD674B">
              <w:rPr>
                <w:sz w:val="22"/>
                <w:szCs w:val="22"/>
              </w:rPr>
              <w:t xml:space="preserve">This training is for IASS staff and volunteers only </w:t>
            </w:r>
          </w:p>
        </w:tc>
        <w:tc>
          <w:tcPr>
            <w:tcW w:w="3563" w:type="dxa"/>
            <w:vMerge/>
          </w:tcPr>
          <w:p w:rsidR="003D507E" w:rsidRDefault="003D507E" w:rsidP="003D507E"/>
        </w:tc>
      </w:tr>
      <w:tr w:rsidR="003D507E" w:rsidTr="00746872">
        <w:tc>
          <w:tcPr>
            <w:tcW w:w="1526" w:type="dxa"/>
            <w:vMerge/>
            <w:shd w:val="clear" w:color="auto" w:fill="548DD4" w:themeFill="text2" w:themeFillTint="99"/>
          </w:tcPr>
          <w:p w:rsidR="003D507E" w:rsidRPr="00122D0D" w:rsidRDefault="003D507E" w:rsidP="003D507E">
            <w:pPr>
              <w:rPr>
                <w:b/>
                <w:color w:val="F2F2F2" w:themeColor="background1" w:themeShade="F2"/>
              </w:rPr>
            </w:pPr>
          </w:p>
        </w:tc>
        <w:tc>
          <w:tcPr>
            <w:tcW w:w="1559" w:type="dxa"/>
            <w:vMerge/>
          </w:tcPr>
          <w:p w:rsidR="003D507E" w:rsidRDefault="003D507E" w:rsidP="003D507E"/>
        </w:tc>
        <w:tc>
          <w:tcPr>
            <w:tcW w:w="4111" w:type="dxa"/>
          </w:tcPr>
          <w:p w:rsidR="003D507E" w:rsidRPr="00FD674B" w:rsidRDefault="003D507E" w:rsidP="003D507E">
            <w:pPr>
              <w:pStyle w:val="Default"/>
              <w:rPr>
                <w:sz w:val="22"/>
                <w:szCs w:val="22"/>
              </w:rPr>
            </w:pPr>
            <w:r w:rsidRPr="00FD674B">
              <w:rPr>
                <w:sz w:val="22"/>
                <w:szCs w:val="22"/>
              </w:rPr>
              <w:t xml:space="preserve">2 training sessions on Post 16 support </w:t>
            </w:r>
          </w:p>
          <w:p w:rsidR="003D507E" w:rsidRPr="00FD674B" w:rsidRDefault="003D507E" w:rsidP="003D507E">
            <w:pPr>
              <w:pStyle w:val="Default"/>
              <w:rPr>
                <w:sz w:val="22"/>
                <w:szCs w:val="22"/>
              </w:rPr>
            </w:pPr>
          </w:p>
        </w:tc>
        <w:tc>
          <w:tcPr>
            <w:tcW w:w="10064" w:type="dxa"/>
          </w:tcPr>
          <w:p w:rsidR="003D507E" w:rsidRPr="00FD674B" w:rsidRDefault="003D507E" w:rsidP="00746872">
            <w:pPr>
              <w:pStyle w:val="Default"/>
              <w:numPr>
                <w:ilvl w:val="0"/>
                <w:numId w:val="27"/>
              </w:numPr>
              <w:rPr>
                <w:sz w:val="22"/>
                <w:szCs w:val="22"/>
              </w:rPr>
            </w:pPr>
            <w:r>
              <w:rPr>
                <w:sz w:val="22"/>
                <w:szCs w:val="22"/>
              </w:rPr>
              <w:t xml:space="preserve">This will be commissioned from  PFA and will be for IASS staff     </w:t>
            </w:r>
          </w:p>
        </w:tc>
        <w:tc>
          <w:tcPr>
            <w:tcW w:w="3563" w:type="dxa"/>
            <w:vMerge/>
          </w:tcPr>
          <w:p w:rsidR="003D507E" w:rsidRDefault="003D507E" w:rsidP="003D507E"/>
        </w:tc>
      </w:tr>
      <w:tr w:rsidR="003D507E" w:rsidTr="00746872">
        <w:tc>
          <w:tcPr>
            <w:tcW w:w="1526" w:type="dxa"/>
            <w:vMerge/>
            <w:shd w:val="clear" w:color="auto" w:fill="548DD4" w:themeFill="text2" w:themeFillTint="99"/>
          </w:tcPr>
          <w:p w:rsidR="003D507E" w:rsidRPr="00122D0D" w:rsidRDefault="003D507E" w:rsidP="003D507E">
            <w:pPr>
              <w:rPr>
                <w:b/>
                <w:color w:val="F2F2F2" w:themeColor="background1" w:themeShade="F2"/>
              </w:rPr>
            </w:pPr>
          </w:p>
        </w:tc>
        <w:tc>
          <w:tcPr>
            <w:tcW w:w="1559" w:type="dxa"/>
            <w:vMerge/>
          </w:tcPr>
          <w:p w:rsidR="003D507E" w:rsidRDefault="003D507E" w:rsidP="003D507E"/>
        </w:tc>
        <w:tc>
          <w:tcPr>
            <w:tcW w:w="4111" w:type="dxa"/>
          </w:tcPr>
          <w:p w:rsidR="003D507E" w:rsidRPr="00FD674B" w:rsidRDefault="003D507E" w:rsidP="003D507E">
            <w:pPr>
              <w:pStyle w:val="Default"/>
              <w:rPr>
                <w:sz w:val="22"/>
                <w:szCs w:val="22"/>
              </w:rPr>
            </w:pPr>
            <w:r w:rsidRPr="00FD674B">
              <w:rPr>
                <w:sz w:val="22"/>
                <w:szCs w:val="22"/>
              </w:rPr>
              <w:t>2 sessions of additional training</w:t>
            </w:r>
          </w:p>
          <w:p w:rsidR="003D507E" w:rsidRPr="00FD674B" w:rsidRDefault="003D507E" w:rsidP="003D507E">
            <w:pPr>
              <w:pStyle w:val="Default"/>
              <w:rPr>
                <w:sz w:val="22"/>
                <w:szCs w:val="22"/>
              </w:rPr>
            </w:pPr>
          </w:p>
        </w:tc>
        <w:tc>
          <w:tcPr>
            <w:tcW w:w="10064" w:type="dxa"/>
          </w:tcPr>
          <w:p w:rsidR="003D507E" w:rsidRPr="00FD674B" w:rsidRDefault="003D507E" w:rsidP="00746872">
            <w:pPr>
              <w:pStyle w:val="Default"/>
              <w:numPr>
                <w:ilvl w:val="0"/>
                <w:numId w:val="27"/>
              </w:numPr>
              <w:rPr>
                <w:sz w:val="22"/>
                <w:szCs w:val="22"/>
              </w:rPr>
            </w:pPr>
            <w:r w:rsidRPr="00FD674B">
              <w:rPr>
                <w:sz w:val="22"/>
                <w:szCs w:val="22"/>
              </w:rPr>
              <w:t>Work with IAS services to identify area of needs</w:t>
            </w:r>
            <w:r>
              <w:rPr>
                <w:sz w:val="22"/>
                <w:szCs w:val="22"/>
              </w:rPr>
              <w:t>, this is likely to look at personal budgets</w:t>
            </w:r>
          </w:p>
        </w:tc>
        <w:tc>
          <w:tcPr>
            <w:tcW w:w="3563" w:type="dxa"/>
            <w:vMerge/>
          </w:tcPr>
          <w:p w:rsidR="003D507E" w:rsidRDefault="003D507E" w:rsidP="003D507E"/>
        </w:tc>
      </w:tr>
      <w:tr w:rsidR="003D507E" w:rsidTr="00746872">
        <w:tc>
          <w:tcPr>
            <w:tcW w:w="1526" w:type="dxa"/>
            <w:vMerge/>
            <w:shd w:val="clear" w:color="auto" w:fill="548DD4" w:themeFill="text2" w:themeFillTint="99"/>
          </w:tcPr>
          <w:p w:rsidR="003D507E" w:rsidRPr="00122D0D" w:rsidRDefault="003D507E" w:rsidP="003D507E">
            <w:pPr>
              <w:rPr>
                <w:b/>
                <w:color w:val="F2F2F2" w:themeColor="background1" w:themeShade="F2"/>
              </w:rPr>
            </w:pPr>
          </w:p>
        </w:tc>
        <w:tc>
          <w:tcPr>
            <w:tcW w:w="1559" w:type="dxa"/>
            <w:vMerge/>
          </w:tcPr>
          <w:p w:rsidR="003D507E" w:rsidRDefault="003D507E" w:rsidP="003D507E"/>
        </w:tc>
        <w:tc>
          <w:tcPr>
            <w:tcW w:w="4111" w:type="dxa"/>
          </w:tcPr>
          <w:p w:rsidR="003D507E" w:rsidRPr="00FD674B" w:rsidRDefault="003D507E" w:rsidP="003D507E">
            <w:pPr>
              <w:pStyle w:val="Default"/>
              <w:rPr>
                <w:sz w:val="22"/>
                <w:szCs w:val="22"/>
              </w:rPr>
            </w:pPr>
            <w:r w:rsidRPr="00FD674B">
              <w:rPr>
                <w:sz w:val="22"/>
                <w:szCs w:val="22"/>
              </w:rPr>
              <w:t>9 visits/training sessions on engaging children and young people</w:t>
            </w:r>
          </w:p>
        </w:tc>
        <w:tc>
          <w:tcPr>
            <w:tcW w:w="10064" w:type="dxa"/>
          </w:tcPr>
          <w:p w:rsidR="003D507E" w:rsidRPr="00FD674B" w:rsidRDefault="003D507E" w:rsidP="00746872">
            <w:pPr>
              <w:pStyle w:val="Default"/>
              <w:numPr>
                <w:ilvl w:val="0"/>
                <w:numId w:val="27"/>
              </w:numPr>
              <w:rPr>
                <w:sz w:val="22"/>
                <w:szCs w:val="22"/>
              </w:rPr>
            </w:pPr>
            <w:r w:rsidRPr="00FD674B">
              <w:rPr>
                <w:sz w:val="22"/>
                <w:szCs w:val="22"/>
              </w:rPr>
              <w:t>Provide support, training and resources to develop/ enhance IAS provision to children and young people.</w:t>
            </w:r>
          </w:p>
          <w:p w:rsidR="003D507E" w:rsidRPr="00FD674B" w:rsidRDefault="003D507E" w:rsidP="003D507E">
            <w:pPr>
              <w:pStyle w:val="Default"/>
              <w:rPr>
                <w:sz w:val="22"/>
                <w:szCs w:val="22"/>
              </w:rPr>
            </w:pPr>
          </w:p>
        </w:tc>
        <w:tc>
          <w:tcPr>
            <w:tcW w:w="3563" w:type="dxa"/>
            <w:vMerge/>
          </w:tcPr>
          <w:p w:rsidR="003D507E" w:rsidRDefault="003D507E" w:rsidP="003D507E"/>
        </w:tc>
      </w:tr>
      <w:tr w:rsidR="003D507E" w:rsidTr="00746872">
        <w:tc>
          <w:tcPr>
            <w:tcW w:w="1526" w:type="dxa"/>
            <w:vMerge/>
            <w:shd w:val="clear" w:color="auto" w:fill="548DD4" w:themeFill="text2" w:themeFillTint="99"/>
          </w:tcPr>
          <w:p w:rsidR="003D507E" w:rsidRPr="00122D0D" w:rsidRDefault="003D507E" w:rsidP="003D507E">
            <w:pPr>
              <w:rPr>
                <w:b/>
                <w:color w:val="F2F2F2" w:themeColor="background1" w:themeShade="F2"/>
              </w:rPr>
            </w:pPr>
          </w:p>
        </w:tc>
        <w:tc>
          <w:tcPr>
            <w:tcW w:w="1559" w:type="dxa"/>
            <w:vMerge/>
          </w:tcPr>
          <w:p w:rsidR="003D507E" w:rsidRDefault="003D507E" w:rsidP="003D507E"/>
        </w:tc>
        <w:tc>
          <w:tcPr>
            <w:tcW w:w="4111" w:type="dxa"/>
          </w:tcPr>
          <w:p w:rsidR="003D507E" w:rsidRPr="00FD674B" w:rsidRDefault="003D507E" w:rsidP="003D507E">
            <w:pPr>
              <w:pStyle w:val="Default"/>
              <w:rPr>
                <w:sz w:val="22"/>
                <w:szCs w:val="22"/>
              </w:rPr>
            </w:pPr>
            <w:r w:rsidRPr="00FD674B">
              <w:rPr>
                <w:sz w:val="22"/>
                <w:szCs w:val="22"/>
              </w:rPr>
              <w:t xml:space="preserve">Attend regional IAS meetings </w:t>
            </w:r>
          </w:p>
          <w:p w:rsidR="003D507E" w:rsidRPr="00FD674B" w:rsidRDefault="003D507E" w:rsidP="003D507E">
            <w:pPr>
              <w:pStyle w:val="Default"/>
              <w:rPr>
                <w:sz w:val="22"/>
                <w:szCs w:val="22"/>
              </w:rPr>
            </w:pPr>
          </w:p>
        </w:tc>
        <w:tc>
          <w:tcPr>
            <w:tcW w:w="10064" w:type="dxa"/>
          </w:tcPr>
          <w:p w:rsidR="003D507E" w:rsidRPr="00FD674B" w:rsidRDefault="003D507E" w:rsidP="00746872">
            <w:pPr>
              <w:pStyle w:val="Default"/>
              <w:numPr>
                <w:ilvl w:val="0"/>
                <w:numId w:val="27"/>
              </w:numPr>
              <w:rPr>
                <w:sz w:val="22"/>
                <w:szCs w:val="22"/>
              </w:rPr>
            </w:pPr>
            <w:r w:rsidRPr="00FD674B">
              <w:rPr>
                <w:sz w:val="22"/>
                <w:szCs w:val="22"/>
              </w:rPr>
              <w:t>Attendance at least 18 regional meetings.</w:t>
            </w:r>
          </w:p>
        </w:tc>
        <w:tc>
          <w:tcPr>
            <w:tcW w:w="3563" w:type="dxa"/>
            <w:vMerge/>
          </w:tcPr>
          <w:p w:rsidR="003D507E" w:rsidRDefault="003D507E" w:rsidP="003D507E"/>
        </w:tc>
      </w:tr>
      <w:tr w:rsidR="003D507E" w:rsidTr="00746872">
        <w:tc>
          <w:tcPr>
            <w:tcW w:w="1526" w:type="dxa"/>
            <w:vMerge/>
            <w:shd w:val="clear" w:color="auto" w:fill="548DD4" w:themeFill="text2" w:themeFillTint="99"/>
          </w:tcPr>
          <w:p w:rsidR="003D507E" w:rsidRPr="00122D0D" w:rsidRDefault="003D507E" w:rsidP="003D507E">
            <w:pPr>
              <w:rPr>
                <w:b/>
                <w:color w:val="F2F2F2" w:themeColor="background1" w:themeShade="F2"/>
              </w:rPr>
            </w:pPr>
          </w:p>
        </w:tc>
        <w:tc>
          <w:tcPr>
            <w:tcW w:w="1559" w:type="dxa"/>
            <w:vMerge/>
          </w:tcPr>
          <w:p w:rsidR="003D507E" w:rsidRDefault="003D507E" w:rsidP="003D507E"/>
        </w:tc>
        <w:tc>
          <w:tcPr>
            <w:tcW w:w="4111" w:type="dxa"/>
          </w:tcPr>
          <w:p w:rsidR="003D507E" w:rsidRPr="00FD674B" w:rsidRDefault="003D507E" w:rsidP="003D507E">
            <w:pPr>
              <w:pStyle w:val="Default"/>
              <w:rPr>
                <w:sz w:val="22"/>
                <w:szCs w:val="22"/>
              </w:rPr>
            </w:pPr>
            <w:r w:rsidRPr="00FD674B">
              <w:rPr>
                <w:sz w:val="22"/>
                <w:szCs w:val="22"/>
              </w:rPr>
              <w:t xml:space="preserve">Updates to IAS services on latest news, research, trends, and policy </w:t>
            </w:r>
          </w:p>
        </w:tc>
        <w:tc>
          <w:tcPr>
            <w:tcW w:w="10064" w:type="dxa"/>
          </w:tcPr>
          <w:p w:rsidR="003D507E" w:rsidRDefault="003D507E" w:rsidP="00746872">
            <w:pPr>
              <w:pStyle w:val="Default"/>
              <w:numPr>
                <w:ilvl w:val="0"/>
                <w:numId w:val="27"/>
              </w:numPr>
              <w:rPr>
                <w:sz w:val="22"/>
                <w:szCs w:val="22"/>
              </w:rPr>
            </w:pPr>
            <w:r>
              <w:rPr>
                <w:sz w:val="22"/>
                <w:szCs w:val="22"/>
              </w:rPr>
              <w:t xml:space="preserve">A </w:t>
            </w:r>
            <w:r w:rsidRPr="00FD674B">
              <w:rPr>
                <w:sz w:val="22"/>
                <w:szCs w:val="22"/>
              </w:rPr>
              <w:t xml:space="preserve">digest </w:t>
            </w:r>
            <w:r>
              <w:rPr>
                <w:sz w:val="22"/>
                <w:szCs w:val="22"/>
              </w:rPr>
              <w:t>circulated f</w:t>
            </w:r>
            <w:r w:rsidRPr="00FD674B">
              <w:rPr>
                <w:sz w:val="22"/>
                <w:szCs w:val="22"/>
              </w:rPr>
              <w:t>ortnightly containing information about news stories, new research, and new policies</w:t>
            </w:r>
            <w:r>
              <w:rPr>
                <w:sz w:val="22"/>
                <w:szCs w:val="22"/>
              </w:rPr>
              <w:t xml:space="preserve"> which are relevant to IAS work – this is available to anyone</w:t>
            </w:r>
          </w:p>
          <w:p w:rsidR="003D507E" w:rsidRPr="00FD674B" w:rsidRDefault="003D507E" w:rsidP="003D507E">
            <w:pPr>
              <w:pStyle w:val="Default"/>
              <w:rPr>
                <w:sz w:val="22"/>
                <w:szCs w:val="22"/>
              </w:rPr>
            </w:pPr>
          </w:p>
        </w:tc>
        <w:tc>
          <w:tcPr>
            <w:tcW w:w="3563" w:type="dxa"/>
            <w:vMerge/>
          </w:tcPr>
          <w:p w:rsidR="003D507E" w:rsidRDefault="003D507E" w:rsidP="003D507E"/>
        </w:tc>
      </w:tr>
      <w:tr w:rsidR="003D507E" w:rsidTr="00746872">
        <w:tc>
          <w:tcPr>
            <w:tcW w:w="1526" w:type="dxa"/>
            <w:vMerge/>
            <w:shd w:val="clear" w:color="auto" w:fill="548DD4" w:themeFill="text2" w:themeFillTint="99"/>
          </w:tcPr>
          <w:p w:rsidR="003D507E" w:rsidRPr="00122D0D" w:rsidRDefault="003D507E" w:rsidP="003D507E">
            <w:pPr>
              <w:rPr>
                <w:b/>
                <w:color w:val="F2F2F2" w:themeColor="background1" w:themeShade="F2"/>
              </w:rPr>
            </w:pPr>
          </w:p>
        </w:tc>
        <w:tc>
          <w:tcPr>
            <w:tcW w:w="1559" w:type="dxa"/>
            <w:vMerge/>
          </w:tcPr>
          <w:p w:rsidR="003D507E" w:rsidRDefault="003D507E" w:rsidP="003D507E"/>
        </w:tc>
        <w:tc>
          <w:tcPr>
            <w:tcW w:w="4111" w:type="dxa"/>
          </w:tcPr>
          <w:p w:rsidR="003D507E" w:rsidRPr="00FD674B" w:rsidRDefault="003D507E" w:rsidP="003D507E">
            <w:pPr>
              <w:pStyle w:val="Default"/>
              <w:rPr>
                <w:sz w:val="22"/>
                <w:szCs w:val="22"/>
              </w:rPr>
            </w:pPr>
            <w:r w:rsidRPr="00FD674B">
              <w:rPr>
                <w:sz w:val="22"/>
                <w:szCs w:val="22"/>
              </w:rPr>
              <w:t xml:space="preserve">National website and phone line </w:t>
            </w:r>
          </w:p>
        </w:tc>
        <w:tc>
          <w:tcPr>
            <w:tcW w:w="10064" w:type="dxa"/>
          </w:tcPr>
          <w:p w:rsidR="003D507E" w:rsidRPr="00FD674B" w:rsidRDefault="003D507E" w:rsidP="00746872">
            <w:pPr>
              <w:pStyle w:val="Default"/>
              <w:numPr>
                <w:ilvl w:val="0"/>
                <w:numId w:val="27"/>
              </w:numPr>
              <w:rPr>
                <w:sz w:val="22"/>
                <w:szCs w:val="22"/>
              </w:rPr>
            </w:pPr>
            <w:r w:rsidRPr="00FD674B">
              <w:rPr>
                <w:sz w:val="22"/>
                <w:szCs w:val="22"/>
              </w:rPr>
              <w:t xml:space="preserve">A website and phone line directing parents, children and young people to their local IASS. </w:t>
            </w:r>
          </w:p>
          <w:p w:rsidR="003D507E" w:rsidRDefault="00900B28" w:rsidP="00746872">
            <w:pPr>
              <w:pStyle w:val="Default"/>
              <w:numPr>
                <w:ilvl w:val="0"/>
                <w:numId w:val="27"/>
              </w:numPr>
              <w:rPr>
                <w:sz w:val="22"/>
                <w:szCs w:val="22"/>
              </w:rPr>
            </w:pPr>
            <w:hyperlink r:id="rId20" w:history="1">
              <w:r w:rsidR="003D507E" w:rsidRPr="000C67D8">
                <w:rPr>
                  <w:rStyle w:val="Hyperlink"/>
                  <w:sz w:val="22"/>
                  <w:szCs w:val="22"/>
                </w:rPr>
                <w:t>http://www.iassnetwork.org.uk/</w:t>
              </w:r>
            </w:hyperlink>
            <w:r w:rsidR="003D507E" w:rsidRPr="00FD674B">
              <w:rPr>
                <w:sz w:val="22"/>
                <w:szCs w:val="22"/>
              </w:rPr>
              <w:t xml:space="preserve"> </w:t>
            </w:r>
          </w:p>
          <w:p w:rsidR="003D507E" w:rsidRPr="00FD674B" w:rsidRDefault="003D507E" w:rsidP="003D507E">
            <w:pPr>
              <w:pStyle w:val="Default"/>
              <w:rPr>
                <w:sz w:val="22"/>
                <w:szCs w:val="22"/>
              </w:rPr>
            </w:pPr>
          </w:p>
        </w:tc>
        <w:tc>
          <w:tcPr>
            <w:tcW w:w="3563" w:type="dxa"/>
            <w:vMerge/>
          </w:tcPr>
          <w:p w:rsidR="003D507E" w:rsidRDefault="003D507E" w:rsidP="003D507E"/>
        </w:tc>
      </w:tr>
      <w:tr w:rsidR="003D507E" w:rsidTr="00746872">
        <w:tc>
          <w:tcPr>
            <w:tcW w:w="1526" w:type="dxa"/>
            <w:vMerge/>
            <w:shd w:val="clear" w:color="auto" w:fill="548DD4" w:themeFill="text2" w:themeFillTint="99"/>
          </w:tcPr>
          <w:p w:rsidR="003D507E" w:rsidRPr="00122D0D" w:rsidRDefault="003D507E" w:rsidP="003D507E">
            <w:pPr>
              <w:rPr>
                <w:b/>
                <w:color w:val="F2F2F2" w:themeColor="background1" w:themeShade="F2"/>
              </w:rPr>
            </w:pPr>
          </w:p>
        </w:tc>
        <w:tc>
          <w:tcPr>
            <w:tcW w:w="1559" w:type="dxa"/>
            <w:vMerge/>
          </w:tcPr>
          <w:p w:rsidR="003D507E" w:rsidRDefault="003D507E" w:rsidP="003D507E"/>
        </w:tc>
        <w:tc>
          <w:tcPr>
            <w:tcW w:w="4111" w:type="dxa"/>
          </w:tcPr>
          <w:p w:rsidR="003D507E" w:rsidRPr="00FD674B" w:rsidRDefault="003D507E" w:rsidP="003D507E">
            <w:pPr>
              <w:pStyle w:val="Default"/>
              <w:rPr>
                <w:sz w:val="22"/>
                <w:szCs w:val="22"/>
              </w:rPr>
            </w:pPr>
            <w:r w:rsidRPr="00FD674B">
              <w:rPr>
                <w:sz w:val="22"/>
                <w:szCs w:val="22"/>
              </w:rPr>
              <w:t xml:space="preserve">Advice and Information for LAs on commissioning/supporting IASS </w:t>
            </w:r>
          </w:p>
          <w:p w:rsidR="003D507E" w:rsidRPr="00FD674B" w:rsidRDefault="003D507E" w:rsidP="003D507E">
            <w:pPr>
              <w:pStyle w:val="Default"/>
              <w:rPr>
                <w:sz w:val="22"/>
                <w:szCs w:val="22"/>
              </w:rPr>
            </w:pPr>
          </w:p>
        </w:tc>
        <w:tc>
          <w:tcPr>
            <w:tcW w:w="10064" w:type="dxa"/>
          </w:tcPr>
          <w:p w:rsidR="003D507E" w:rsidRPr="00FD674B" w:rsidRDefault="003D507E" w:rsidP="00746872">
            <w:pPr>
              <w:pStyle w:val="Default"/>
              <w:numPr>
                <w:ilvl w:val="0"/>
                <w:numId w:val="27"/>
              </w:numPr>
              <w:rPr>
                <w:sz w:val="22"/>
                <w:szCs w:val="22"/>
              </w:rPr>
            </w:pPr>
            <w:r w:rsidRPr="00FD674B">
              <w:rPr>
                <w:sz w:val="22"/>
                <w:szCs w:val="22"/>
              </w:rPr>
              <w:t xml:space="preserve">Contact </w:t>
            </w:r>
            <w:hyperlink r:id="rId21" w:history="1">
              <w:r w:rsidRPr="00746872">
                <w:rPr>
                  <w:rStyle w:val="Hyperlink"/>
                  <w:sz w:val="22"/>
                  <w:szCs w:val="22"/>
                </w:rPr>
                <w:t>drussell@ncb.org.uk</w:t>
              </w:r>
            </w:hyperlink>
            <w:r w:rsidRPr="00FD674B">
              <w:rPr>
                <w:sz w:val="22"/>
                <w:szCs w:val="22"/>
              </w:rPr>
              <w:t xml:space="preserve"> for more information. </w:t>
            </w:r>
          </w:p>
        </w:tc>
        <w:tc>
          <w:tcPr>
            <w:tcW w:w="3563" w:type="dxa"/>
            <w:vMerge/>
          </w:tcPr>
          <w:p w:rsidR="003D507E" w:rsidRDefault="003D507E" w:rsidP="003D507E"/>
        </w:tc>
      </w:tr>
      <w:tr w:rsidR="00746872" w:rsidTr="00577E63">
        <w:tc>
          <w:tcPr>
            <w:tcW w:w="1526" w:type="dxa"/>
            <w:shd w:val="clear" w:color="auto" w:fill="548DD4" w:themeFill="text2" w:themeFillTint="99"/>
          </w:tcPr>
          <w:p w:rsidR="00746872" w:rsidRPr="00122D0D" w:rsidRDefault="00746872" w:rsidP="00746872">
            <w:pPr>
              <w:rPr>
                <w:b/>
                <w:color w:val="F2F2F2" w:themeColor="background1" w:themeShade="F2"/>
              </w:rPr>
            </w:pPr>
            <w:r>
              <w:rPr>
                <w:b/>
                <w:color w:val="F2F2F2" w:themeColor="background1" w:themeShade="F2"/>
              </w:rPr>
              <w:t>SEND L</w:t>
            </w:r>
            <w:r w:rsidRPr="00122D0D">
              <w:rPr>
                <w:b/>
                <w:color w:val="F2F2F2" w:themeColor="background1" w:themeShade="F2"/>
              </w:rPr>
              <w:t>eadership</w:t>
            </w:r>
            <w:r>
              <w:rPr>
                <w:b/>
                <w:color w:val="F2F2F2" w:themeColor="background1" w:themeShade="F2"/>
              </w:rPr>
              <w:t xml:space="preserve"> Development</w:t>
            </w:r>
          </w:p>
        </w:tc>
        <w:tc>
          <w:tcPr>
            <w:tcW w:w="1559" w:type="dxa"/>
          </w:tcPr>
          <w:p w:rsidR="00746872" w:rsidRDefault="00746872" w:rsidP="00746872">
            <w:proofErr w:type="spellStart"/>
            <w:r>
              <w:t>NDTi</w:t>
            </w:r>
            <w:proofErr w:type="spellEnd"/>
            <w:r>
              <w:t xml:space="preserve"> </w:t>
            </w:r>
            <w:r w:rsidRPr="00C95BBA">
              <w:t>(DBOT)</w:t>
            </w:r>
          </w:p>
        </w:tc>
        <w:tc>
          <w:tcPr>
            <w:tcW w:w="4111" w:type="dxa"/>
            <w:shd w:val="clear" w:color="auto" w:fill="auto"/>
          </w:tcPr>
          <w:p w:rsidR="00746872" w:rsidRPr="005A312D" w:rsidRDefault="00746872" w:rsidP="00746872">
            <w:r w:rsidRPr="005A312D">
              <w:t xml:space="preserve">SEND leadership </w:t>
            </w:r>
            <w:r>
              <w:t xml:space="preserve">development </w:t>
            </w:r>
            <w:r w:rsidRPr="005A312D">
              <w:t>programme:</w:t>
            </w:r>
          </w:p>
          <w:p w:rsidR="00746872" w:rsidRPr="005A312D" w:rsidRDefault="00746872" w:rsidP="00746872">
            <w:pPr>
              <w:pStyle w:val="ListParagraph"/>
              <w:numPr>
                <w:ilvl w:val="0"/>
                <w:numId w:val="26"/>
              </w:numPr>
            </w:pPr>
            <w:r w:rsidRPr="005A312D">
              <w:t>Available for 40 SEND managers/leaders</w:t>
            </w:r>
            <w:r>
              <w:t xml:space="preserve"> with strategic responsibility for leading the delivery of SEND reforms in the local area</w:t>
            </w:r>
          </w:p>
          <w:p w:rsidR="00746872" w:rsidRPr="005A312D" w:rsidRDefault="00746872" w:rsidP="00746872">
            <w:pPr>
              <w:pStyle w:val="ListParagraph"/>
              <w:numPr>
                <w:ilvl w:val="0"/>
                <w:numId w:val="26"/>
              </w:numPr>
            </w:pPr>
            <w:r w:rsidRPr="005A312D">
              <w:t>5 modules delive</w:t>
            </w:r>
            <w:r>
              <w:t xml:space="preserve">red over 5 two day </w:t>
            </w:r>
            <w:proofErr w:type="spellStart"/>
            <w:r>
              <w:t>residentials</w:t>
            </w:r>
            <w:proofErr w:type="spellEnd"/>
            <w:r>
              <w:t>, run from September 201</w:t>
            </w:r>
            <w:r w:rsidR="006C54CA">
              <w:t>7</w:t>
            </w:r>
            <w:r>
              <w:t xml:space="preserve"> to May 201</w:t>
            </w:r>
            <w:r w:rsidR="006C54CA">
              <w:t>8</w:t>
            </w:r>
          </w:p>
          <w:p w:rsidR="00746872" w:rsidRPr="005A312D" w:rsidRDefault="00746872" w:rsidP="00746872"/>
        </w:tc>
        <w:tc>
          <w:tcPr>
            <w:tcW w:w="10064" w:type="dxa"/>
            <w:shd w:val="clear" w:color="auto" w:fill="auto"/>
          </w:tcPr>
          <w:p w:rsidR="00746872" w:rsidRPr="005A312D" w:rsidRDefault="00746872" w:rsidP="00746872">
            <w:pPr>
              <w:pStyle w:val="ListParagraph"/>
              <w:numPr>
                <w:ilvl w:val="0"/>
                <w:numId w:val="26"/>
              </w:numPr>
              <w:ind w:left="360"/>
            </w:pPr>
            <w:r w:rsidRPr="005A312D">
              <w:t xml:space="preserve">Applications, preferably in pairs from local authority areas (pairs can </w:t>
            </w:r>
            <w:r>
              <w:t xml:space="preserve">be two LA managers who are not in a direct line management relationship e.g. from education and social care) or one LA manager and an NHS partner.  Single applicants will also be accepted where a pair cannot be identified. </w:t>
            </w:r>
            <w:r w:rsidRPr="005A312D">
              <w:t>Application details found at</w:t>
            </w:r>
            <w:r>
              <w:t xml:space="preserve">: </w:t>
            </w:r>
            <w:hyperlink r:id="rId22" w:history="1">
              <w:r w:rsidRPr="00D12F01">
                <w:rPr>
                  <w:rStyle w:val="Hyperlink"/>
                </w:rPr>
                <w:t>www.ndti.org.uk/our-work/our-projects/leadership/leadership-training</w:t>
              </w:r>
            </w:hyperlink>
            <w:r w:rsidR="006C54CA">
              <w:rPr>
                <w:rStyle w:val="Hyperlink"/>
              </w:rPr>
              <w:t xml:space="preserve"> . </w:t>
            </w:r>
            <w:r w:rsidR="006C54CA" w:rsidRPr="006C54CA">
              <w:t>The closing date for applications is 19th June 2017</w:t>
            </w:r>
          </w:p>
          <w:p w:rsidR="006C54CA" w:rsidRPr="005A312D" w:rsidRDefault="00746872" w:rsidP="006C54CA">
            <w:pPr>
              <w:pStyle w:val="ListParagraph"/>
              <w:numPr>
                <w:ilvl w:val="0"/>
                <w:numId w:val="26"/>
              </w:numPr>
              <w:ind w:left="360"/>
            </w:pPr>
            <w:r w:rsidRPr="005A312D">
              <w:t>Cost is £</w:t>
            </w:r>
            <w:r>
              <w:t>875</w:t>
            </w:r>
            <w:r w:rsidRPr="005A312D">
              <w:t xml:space="preserve"> per person per place.</w:t>
            </w:r>
          </w:p>
        </w:tc>
        <w:tc>
          <w:tcPr>
            <w:tcW w:w="3563" w:type="dxa"/>
            <w:shd w:val="clear" w:color="auto" w:fill="auto"/>
          </w:tcPr>
          <w:p w:rsidR="00746872" w:rsidRPr="005A312D" w:rsidRDefault="00746872" w:rsidP="00746872">
            <w:r w:rsidRPr="005A312D">
              <w:t>For an informal conversation, call Rob Greig on 01225 789135 or email</w:t>
            </w:r>
          </w:p>
          <w:p w:rsidR="00746872" w:rsidRDefault="00900B28" w:rsidP="00746872">
            <w:hyperlink r:id="rId23" w:history="1">
              <w:r w:rsidR="00746872" w:rsidRPr="00594E2E">
                <w:rPr>
                  <w:rStyle w:val="Hyperlink"/>
                </w:rPr>
                <w:t>rob.greig@ndti.org.uk</w:t>
              </w:r>
            </w:hyperlink>
          </w:p>
          <w:p w:rsidR="00746872" w:rsidRPr="005A312D" w:rsidRDefault="00746872" w:rsidP="00746872"/>
        </w:tc>
      </w:tr>
      <w:tr w:rsidR="00E040E1" w:rsidTr="00B21746">
        <w:tc>
          <w:tcPr>
            <w:tcW w:w="1526" w:type="dxa"/>
            <w:shd w:val="clear" w:color="auto" w:fill="548DD4" w:themeFill="text2" w:themeFillTint="99"/>
          </w:tcPr>
          <w:p w:rsidR="00E040E1" w:rsidRDefault="00E040E1" w:rsidP="00E040E1">
            <w:pPr>
              <w:rPr>
                <w:b/>
                <w:color w:val="F2F2F2" w:themeColor="background1" w:themeShade="F2"/>
              </w:rPr>
            </w:pPr>
            <w:r>
              <w:rPr>
                <w:b/>
                <w:color w:val="F2F2F2" w:themeColor="background1" w:themeShade="F2"/>
              </w:rPr>
              <w:t>Parent Carer Participation via</w:t>
            </w:r>
          </w:p>
          <w:p w:rsidR="00E040E1" w:rsidRPr="00122D0D" w:rsidRDefault="00E040E1" w:rsidP="00E040E1">
            <w:pPr>
              <w:rPr>
                <w:b/>
                <w:color w:val="F2F2F2" w:themeColor="background1" w:themeShade="F2"/>
              </w:rPr>
            </w:pPr>
            <w:r w:rsidRPr="0075717C">
              <w:rPr>
                <w:b/>
                <w:color w:val="F2F2F2" w:themeColor="background1" w:themeShade="F2"/>
              </w:rPr>
              <w:t xml:space="preserve">National Network of Parent Carer Forums </w:t>
            </w:r>
            <w:r w:rsidRPr="0075717C">
              <w:rPr>
                <w:b/>
                <w:color w:val="F2F2F2" w:themeColor="background1" w:themeShade="F2"/>
              </w:rPr>
              <w:lastRenderedPageBreak/>
              <w:t>(NNPCF)</w:t>
            </w:r>
          </w:p>
        </w:tc>
        <w:tc>
          <w:tcPr>
            <w:tcW w:w="1559" w:type="dxa"/>
          </w:tcPr>
          <w:p w:rsidR="00E040E1" w:rsidRDefault="00E040E1" w:rsidP="00E040E1">
            <w:r w:rsidRPr="00002AD0">
              <w:lastRenderedPageBreak/>
              <w:t>National Network of Parent Carer Forums (NNPCF)</w:t>
            </w:r>
          </w:p>
        </w:tc>
        <w:tc>
          <w:tcPr>
            <w:tcW w:w="4111" w:type="dxa"/>
          </w:tcPr>
          <w:p w:rsidR="00E040E1" w:rsidRDefault="00E040E1" w:rsidP="00E040E1">
            <w:r>
              <w:t>The NNPCF are able to gather intelligence from and disseminate information to parent carer forums.</w:t>
            </w:r>
          </w:p>
          <w:p w:rsidR="00E040E1" w:rsidRDefault="00E040E1" w:rsidP="00E040E1"/>
          <w:p w:rsidR="005A57C1" w:rsidRDefault="005A57C1" w:rsidP="00E040E1"/>
          <w:p w:rsidR="005A57C1" w:rsidRDefault="005A57C1" w:rsidP="00E040E1"/>
          <w:p w:rsidR="00E040E1" w:rsidRDefault="00E040E1" w:rsidP="00E040E1">
            <w:r>
              <w:t xml:space="preserve">Strategic participation at local, regional and </w:t>
            </w:r>
            <w:r>
              <w:lastRenderedPageBreak/>
              <w:t>national level.</w:t>
            </w:r>
          </w:p>
          <w:p w:rsidR="00E040E1" w:rsidRDefault="00E040E1" w:rsidP="00E040E1"/>
          <w:p w:rsidR="00E040E1" w:rsidRDefault="00E040E1" w:rsidP="00E040E1">
            <w:r>
              <w:t>Working closely with forum representatives at regional level.</w:t>
            </w:r>
          </w:p>
        </w:tc>
        <w:tc>
          <w:tcPr>
            <w:tcW w:w="10064" w:type="dxa"/>
          </w:tcPr>
          <w:p w:rsidR="00E040E1" w:rsidRDefault="00E040E1" w:rsidP="00E040E1">
            <w:pPr>
              <w:pStyle w:val="ListParagraph"/>
              <w:numPr>
                <w:ilvl w:val="0"/>
                <w:numId w:val="34"/>
              </w:numPr>
            </w:pPr>
            <w:r>
              <w:lastRenderedPageBreak/>
              <w:t xml:space="preserve">The NNPCF is made up of every </w:t>
            </w:r>
            <w:proofErr w:type="spellStart"/>
            <w:r>
              <w:t>DfE</w:t>
            </w:r>
            <w:proofErr w:type="spellEnd"/>
            <w:r>
              <w:t xml:space="preserve"> funded parent carer forum in the country. The forums are pan-disability and committed to co-producing strategic solutions with the LA, CCG and others in their area in a solution focused, evidence based way to ensure that the voice of parent carers is at the heart of the reforms. Each region has a regional representative (2 for London) who gathers intelligence from the forums which can be specific to an area, part of a regional picture or feed into the national picture. The regional representative will disseminate information to the parent carer forums.</w:t>
            </w:r>
          </w:p>
          <w:p w:rsidR="00E040E1" w:rsidRDefault="00E040E1" w:rsidP="00E040E1">
            <w:pPr>
              <w:pStyle w:val="ListParagraph"/>
              <w:numPr>
                <w:ilvl w:val="0"/>
                <w:numId w:val="34"/>
              </w:numPr>
            </w:pPr>
            <w:r>
              <w:t xml:space="preserve">Parent (Regional) representatives to attend ALL regional events to ensure robust discussion and that the </w:t>
            </w:r>
            <w:r>
              <w:lastRenderedPageBreak/>
              <w:t>voice of the parent carer is heard. Ensuring that the voice of the local forums are part of the regional discussion.</w:t>
            </w:r>
          </w:p>
          <w:p w:rsidR="00E040E1" w:rsidRDefault="00E040E1" w:rsidP="00E040E1">
            <w:pPr>
              <w:pStyle w:val="ListParagraph"/>
              <w:numPr>
                <w:ilvl w:val="0"/>
                <w:numId w:val="34"/>
              </w:numPr>
            </w:pPr>
            <w:r>
              <w:t>Encouraging local forums to attend as many events and meetings as they are able to promote co-production and participation in all that is done locally regionally and nationally</w:t>
            </w:r>
          </w:p>
        </w:tc>
        <w:tc>
          <w:tcPr>
            <w:tcW w:w="3563" w:type="dxa"/>
          </w:tcPr>
          <w:p w:rsidR="00F17A6B" w:rsidRDefault="00E040E1" w:rsidP="00E040E1">
            <w:r>
              <w:lastRenderedPageBreak/>
              <w:t xml:space="preserve">Single point of contact: </w:t>
            </w:r>
            <w:hyperlink r:id="rId24" w:history="1">
              <w:r w:rsidRPr="00F17A6B">
                <w:rPr>
                  <w:rStyle w:val="Hyperlink"/>
                </w:rPr>
                <w:t>info@nnpcf.org.uk</w:t>
              </w:r>
            </w:hyperlink>
            <w:r>
              <w:t xml:space="preserve"> </w:t>
            </w:r>
          </w:p>
          <w:p w:rsidR="00E040E1" w:rsidRDefault="00E040E1" w:rsidP="00E040E1">
            <w:r>
              <w:t xml:space="preserve">Regional contacts: </w:t>
            </w:r>
            <w:hyperlink r:id="rId25" w:history="1">
              <w:r w:rsidRPr="00F17A6B">
                <w:rPr>
                  <w:rStyle w:val="Hyperlink"/>
                </w:rPr>
                <w:t>london@nnpcf.org.uk</w:t>
              </w:r>
            </w:hyperlink>
            <w:r>
              <w:t xml:space="preserve"> </w:t>
            </w:r>
            <w:hyperlink r:id="rId26" w:history="1">
              <w:r w:rsidRPr="00F17A6B">
                <w:rPr>
                  <w:rStyle w:val="Hyperlink"/>
                </w:rPr>
                <w:t>southwest@nnpcf.org.uk</w:t>
              </w:r>
            </w:hyperlink>
            <w:r>
              <w:t xml:space="preserve"> </w:t>
            </w:r>
            <w:hyperlink r:id="rId27" w:history="1">
              <w:r w:rsidRPr="00F17A6B">
                <w:rPr>
                  <w:rStyle w:val="Hyperlink"/>
                </w:rPr>
                <w:t>southeast@nnpcf.org.uk</w:t>
              </w:r>
            </w:hyperlink>
            <w:r>
              <w:t xml:space="preserve"> </w:t>
            </w:r>
            <w:hyperlink r:id="rId28" w:history="1">
              <w:r w:rsidRPr="00F17A6B">
                <w:rPr>
                  <w:rStyle w:val="Hyperlink"/>
                </w:rPr>
                <w:t>eastofengland@nnpcf.org.uk</w:t>
              </w:r>
            </w:hyperlink>
            <w:r>
              <w:t xml:space="preserve"> </w:t>
            </w:r>
            <w:hyperlink r:id="rId29" w:history="1">
              <w:r w:rsidRPr="00F17A6B">
                <w:rPr>
                  <w:rStyle w:val="Hyperlink"/>
                </w:rPr>
                <w:t>westmidlands@nnpcf.org.uk</w:t>
              </w:r>
            </w:hyperlink>
            <w:r>
              <w:t xml:space="preserve"> </w:t>
            </w:r>
            <w:hyperlink r:id="rId30" w:history="1">
              <w:r w:rsidRPr="00F17A6B">
                <w:rPr>
                  <w:rStyle w:val="Hyperlink"/>
                </w:rPr>
                <w:t>eastmidlands@nnpcf.org.uk</w:t>
              </w:r>
            </w:hyperlink>
            <w:r>
              <w:t xml:space="preserve"> </w:t>
            </w:r>
            <w:hyperlink r:id="rId31" w:history="1">
              <w:r w:rsidRPr="00F17A6B">
                <w:rPr>
                  <w:rStyle w:val="Hyperlink"/>
                </w:rPr>
                <w:t>northwest@nnpcf.org.uk</w:t>
              </w:r>
            </w:hyperlink>
            <w:r>
              <w:t xml:space="preserve"> </w:t>
            </w:r>
            <w:hyperlink r:id="rId32" w:history="1">
              <w:r w:rsidRPr="00F17A6B">
                <w:rPr>
                  <w:rStyle w:val="Hyperlink"/>
                </w:rPr>
                <w:t>yorksandhumber@nnpcf.org.uk</w:t>
              </w:r>
            </w:hyperlink>
            <w:r>
              <w:t xml:space="preserve"> </w:t>
            </w:r>
            <w:hyperlink r:id="rId33" w:history="1">
              <w:r w:rsidRPr="00F17A6B">
                <w:rPr>
                  <w:rStyle w:val="Hyperlink"/>
                </w:rPr>
                <w:t>northeast@nnpcf.org.uk</w:t>
              </w:r>
            </w:hyperlink>
          </w:p>
          <w:p w:rsidR="005A57C1" w:rsidRPr="009A79D1" w:rsidRDefault="005A57C1" w:rsidP="00E040E1">
            <w:pPr>
              <w:rPr>
                <w:highlight w:val="yellow"/>
              </w:rPr>
            </w:pPr>
          </w:p>
        </w:tc>
      </w:tr>
      <w:tr w:rsidR="00EF3BD1" w:rsidTr="00B21746">
        <w:tc>
          <w:tcPr>
            <w:tcW w:w="1526" w:type="dxa"/>
            <w:vMerge w:val="restart"/>
            <w:shd w:val="clear" w:color="auto" w:fill="548DD4" w:themeFill="text2" w:themeFillTint="99"/>
          </w:tcPr>
          <w:p w:rsidR="00EF3BD1" w:rsidRDefault="00EF3BD1" w:rsidP="00EF3BD1">
            <w:pPr>
              <w:rPr>
                <w:b/>
                <w:color w:val="F2F2F2" w:themeColor="background1" w:themeShade="F2"/>
              </w:rPr>
            </w:pPr>
            <w:r>
              <w:rPr>
                <w:b/>
                <w:color w:val="F2F2F2" w:themeColor="background1" w:themeShade="F2"/>
              </w:rPr>
              <w:lastRenderedPageBreak/>
              <w:t>Parent Carer Participation</w:t>
            </w:r>
          </w:p>
          <w:p w:rsidR="00EF3BD1" w:rsidRPr="00122D0D" w:rsidRDefault="00EF3BD1" w:rsidP="00EF3BD1">
            <w:pPr>
              <w:rPr>
                <w:b/>
                <w:color w:val="F2F2F2" w:themeColor="background1" w:themeShade="F2"/>
              </w:rPr>
            </w:pPr>
          </w:p>
        </w:tc>
        <w:tc>
          <w:tcPr>
            <w:tcW w:w="1559" w:type="dxa"/>
            <w:vMerge w:val="restart"/>
          </w:tcPr>
          <w:p w:rsidR="00EF3BD1" w:rsidRDefault="00EF3BD1" w:rsidP="00EF3BD1">
            <w:r>
              <w:t>Contact a Family Parent Participation Team</w:t>
            </w:r>
          </w:p>
          <w:p w:rsidR="00EF3BD1" w:rsidRDefault="00EF3BD1" w:rsidP="00EF3BD1"/>
        </w:tc>
        <w:tc>
          <w:tcPr>
            <w:tcW w:w="4111" w:type="dxa"/>
          </w:tcPr>
          <w:p w:rsidR="00EF3BD1" w:rsidRDefault="00EF3BD1" w:rsidP="00EF3BD1">
            <w:pPr>
              <w:pStyle w:val="Default"/>
              <w:rPr>
                <w:sz w:val="22"/>
                <w:szCs w:val="22"/>
              </w:rPr>
            </w:pPr>
            <w:r>
              <w:rPr>
                <w:sz w:val="22"/>
                <w:szCs w:val="22"/>
              </w:rPr>
              <w:t xml:space="preserve">A named Parent Carer Participation Advisor for every local area and support for the development of regional participation structures. </w:t>
            </w:r>
          </w:p>
          <w:p w:rsidR="00EF3BD1" w:rsidRDefault="00EF3BD1" w:rsidP="00EF3BD1">
            <w:pPr>
              <w:pStyle w:val="Default"/>
              <w:rPr>
                <w:sz w:val="22"/>
                <w:szCs w:val="22"/>
              </w:rPr>
            </w:pPr>
          </w:p>
          <w:p w:rsidR="00EF3BD1" w:rsidRDefault="00EF3BD1" w:rsidP="00EF3BD1">
            <w:pPr>
              <w:pStyle w:val="Default"/>
              <w:rPr>
                <w:sz w:val="22"/>
                <w:szCs w:val="22"/>
              </w:rPr>
            </w:pPr>
          </w:p>
          <w:p w:rsidR="00EF3BD1" w:rsidRDefault="00EF3BD1" w:rsidP="00EF3BD1">
            <w:pPr>
              <w:pStyle w:val="Default"/>
              <w:rPr>
                <w:sz w:val="22"/>
                <w:szCs w:val="22"/>
              </w:rPr>
            </w:pPr>
          </w:p>
          <w:p w:rsidR="00EF3BD1" w:rsidRDefault="00EF3BD1" w:rsidP="00EF3BD1">
            <w:pPr>
              <w:pStyle w:val="Default"/>
              <w:rPr>
                <w:sz w:val="22"/>
                <w:szCs w:val="22"/>
              </w:rPr>
            </w:pPr>
          </w:p>
          <w:p w:rsidR="00EF3BD1" w:rsidRDefault="00EF3BD1" w:rsidP="00EF3BD1">
            <w:pPr>
              <w:pStyle w:val="Default"/>
              <w:rPr>
                <w:sz w:val="22"/>
                <w:szCs w:val="22"/>
              </w:rPr>
            </w:pPr>
          </w:p>
          <w:p w:rsidR="00EF3BD1" w:rsidRDefault="00EF3BD1" w:rsidP="00EF3BD1">
            <w:pPr>
              <w:pStyle w:val="Default"/>
              <w:rPr>
                <w:sz w:val="22"/>
                <w:szCs w:val="22"/>
              </w:rPr>
            </w:pPr>
          </w:p>
          <w:p w:rsidR="00EF3BD1" w:rsidRDefault="00EF3BD1" w:rsidP="00EF3BD1">
            <w:pPr>
              <w:pStyle w:val="Default"/>
              <w:rPr>
                <w:sz w:val="22"/>
                <w:szCs w:val="22"/>
              </w:rPr>
            </w:pPr>
          </w:p>
          <w:p w:rsidR="00EF3BD1" w:rsidRDefault="00EF3BD1" w:rsidP="00EF3BD1">
            <w:pPr>
              <w:pStyle w:val="Default"/>
              <w:rPr>
                <w:sz w:val="22"/>
                <w:szCs w:val="22"/>
              </w:rPr>
            </w:pPr>
          </w:p>
          <w:p w:rsidR="00EF3BD1" w:rsidRDefault="00EF3BD1" w:rsidP="00EF3BD1">
            <w:pPr>
              <w:pStyle w:val="Default"/>
              <w:rPr>
                <w:sz w:val="22"/>
                <w:szCs w:val="22"/>
              </w:rPr>
            </w:pPr>
            <w:r>
              <w:rPr>
                <w:sz w:val="22"/>
                <w:szCs w:val="22"/>
              </w:rPr>
              <w:t xml:space="preserve">Administration and support of </w:t>
            </w:r>
            <w:proofErr w:type="spellStart"/>
            <w:r>
              <w:rPr>
                <w:sz w:val="22"/>
                <w:szCs w:val="22"/>
              </w:rPr>
              <w:t>DfE</w:t>
            </w:r>
            <w:proofErr w:type="spellEnd"/>
            <w:r>
              <w:rPr>
                <w:sz w:val="22"/>
                <w:szCs w:val="22"/>
              </w:rPr>
              <w:t xml:space="preserve"> grant</w:t>
            </w:r>
          </w:p>
          <w:p w:rsidR="00EF3BD1" w:rsidRDefault="00EF3BD1" w:rsidP="00EF3BD1">
            <w:pPr>
              <w:pStyle w:val="Default"/>
              <w:rPr>
                <w:sz w:val="22"/>
                <w:szCs w:val="22"/>
              </w:rPr>
            </w:pPr>
          </w:p>
          <w:p w:rsidR="00EF3BD1" w:rsidRDefault="00EF3BD1" w:rsidP="00EF3BD1">
            <w:pPr>
              <w:pStyle w:val="Default"/>
              <w:rPr>
                <w:sz w:val="22"/>
                <w:szCs w:val="22"/>
              </w:rPr>
            </w:pPr>
          </w:p>
          <w:p w:rsidR="00EF3BD1" w:rsidRDefault="00EF3BD1" w:rsidP="00EF3BD1">
            <w:pPr>
              <w:pStyle w:val="Default"/>
              <w:rPr>
                <w:sz w:val="22"/>
                <w:szCs w:val="22"/>
              </w:rPr>
            </w:pPr>
          </w:p>
          <w:p w:rsidR="00EF3BD1" w:rsidRDefault="00EF3BD1" w:rsidP="00EF3BD1">
            <w:pPr>
              <w:pStyle w:val="Default"/>
              <w:rPr>
                <w:sz w:val="22"/>
                <w:szCs w:val="22"/>
              </w:rPr>
            </w:pPr>
            <w:r>
              <w:rPr>
                <w:sz w:val="22"/>
                <w:szCs w:val="22"/>
              </w:rPr>
              <w:t>Health resources</w:t>
            </w:r>
          </w:p>
        </w:tc>
        <w:tc>
          <w:tcPr>
            <w:tcW w:w="10064" w:type="dxa"/>
          </w:tcPr>
          <w:p w:rsidR="00EF3BD1" w:rsidRDefault="00EF3BD1" w:rsidP="00EF3BD1">
            <w:pPr>
              <w:pStyle w:val="Default"/>
              <w:numPr>
                <w:ilvl w:val="0"/>
                <w:numId w:val="35"/>
              </w:numPr>
              <w:ind w:left="360"/>
              <w:rPr>
                <w:sz w:val="22"/>
                <w:szCs w:val="22"/>
              </w:rPr>
            </w:pPr>
            <w:r>
              <w:rPr>
                <w:sz w:val="22"/>
                <w:szCs w:val="22"/>
              </w:rPr>
              <w:t xml:space="preserve">Parent Carer Participation Advisors (PCPAs) work closely with the </w:t>
            </w:r>
            <w:proofErr w:type="spellStart"/>
            <w:r>
              <w:rPr>
                <w:sz w:val="22"/>
                <w:szCs w:val="22"/>
              </w:rPr>
              <w:t>DfE</w:t>
            </w:r>
            <w:proofErr w:type="spellEnd"/>
            <w:r>
              <w:rPr>
                <w:sz w:val="22"/>
                <w:szCs w:val="22"/>
              </w:rPr>
              <w:t xml:space="preserve"> funded parent carer forum in each local area in England to support the development and sustainability of parent carer participation. </w:t>
            </w:r>
          </w:p>
          <w:p w:rsidR="00EF3BD1" w:rsidRDefault="00EF3BD1" w:rsidP="00EF3BD1">
            <w:pPr>
              <w:pStyle w:val="Default"/>
              <w:numPr>
                <w:ilvl w:val="0"/>
                <w:numId w:val="35"/>
              </w:numPr>
              <w:ind w:left="360"/>
              <w:rPr>
                <w:sz w:val="22"/>
                <w:szCs w:val="22"/>
              </w:rPr>
            </w:pPr>
            <w:r>
              <w:rPr>
                <w:sz w:val="22"/>
                <w:szCs w:val="22"/>
              </w:rPr>
              <w:t xml:space="preserve">PCPAs are also available to support statutory partners by providing guidance on navigating challenges that may arise in the pursuit of partnership working and co-production. </w:t>
            </w:r>
            <w:r w:rsidRPr="00837D15">
              <w:rPr>
                <w:sz w:val="22"/>
                <w:szCs w:val="22"/>
              </w:rPr>
              <w:t>They are also able to support wi</w:t>
            </w:r>
            <w:r>
              <w:rPr>
                <w:sz w:val="22"/>
                <w:szCs w:val="22"/>
              </w:rPr>
              <w:t>th the development of regional p</w:t>
            </w:r>
            <w:r w:rsidRPr="00837D15">
              <w:rPr>
                <w:sz w:val="22"/>
                <w:szCs w:val="22"/>
              </w:rPr>
              <w:t xml:space="preserve">arent </w:t>
            </w:r>
            <w:r>
              <w:rPr>
                <w:sz w:val="22"/>
                <w:szCs w:val="22"/>
              </w:rPr>
              <w:t xml:space="preserve">carer </w:t>
            </w:r>
            <w:r w:rsidRPr="00837D15">
              <w:rPr>
                <w:sz w:val="22"/>
                <w:szCs w:val="22"/>
              </w:rPr>
              <w:t>participation arrangements with statutory partners</w:t>
            </w:r>
            <w:r>
              <w:rPr>
                <w:sz w:val="22"/>
                <w:szCs w:val="22"/>
              </w:rPr>
              <w:t>.</w:t>
            </w:r>
          </w:p>
          <w:p w:rsidR="00EF3BD1" w:rsidRDefault="00EF3BD1" w:rsidP="00EF3BD1">
            <w:pPr>
              <w:pStyle w:val="Default"/>
              <w:numPr>
                <w:ilvl w:val="0"/>
                <w:numId w:val="35"/>
              </w:numPr>
              <w:ind w:left="360"/>
              <w:rPr>
                <w:sz w:val="22"/>
                <w:szCs w:val="22"/>
              </w:rPr>
            </w:pPr>
            <w:r>
              <w:rPr>
                <w:sz w:val="22"/>
                <w:szCs w:val="22"/>
              </w:rPr>
              <w:t xml:space="preserve">The PCPAs are trained interpersonal mediators and have skills, knowledge and experience in participation and co-production. </w:t>
            </w:r>
          </w:p>
          <w:p w:rsidR="00EF3BD1" w:rsidRDefault="00EF3BD1" w:rsidP="00EF3BD1">
            <w:pPr>
              <w:pStyle w:val="Default"/>
              <w:numPr>
                <w:ilvl w:val="0"/>
                <w:numId w:val="35"/>
              </w:numPr>
              <w:ind w:left="360"/>
              <w:rPr>
                <w:sz w:val="22"/>
                <w:szCs w:val="22"/>
              </w:rPr>
            </w:pPr>
            <w:r>
              <w:rPr>
                <w:sz w:val="22"/>
                <w:szCs w:val="22"/>
              </w:rPr>
              <w:t xml:space="preserve">As well as supporting the parent carer forum in each local area, PCPAs also have responsibility for a named region and will work in partnership with the regional NNPCF Steering Group member to support all the parent carer forums in that region to meet at least termly to network, share, support and develop a cohesive regional structure for parent carer participation. </w:t>
            </w:r>
          </w:p>
          <w:p w:rsidR="00EF3BD1" w:rsidRDefault="00EF3BD1" w:rsidP="00EF3BD1">
            <w:pPr>
              <w:pStyle w:val="Default"/>
              <w:rPr>
                <w:sz w:val="22"/>
                <w:szCs w:val="22"/>
              </w:rPr>
            </w:pPr>
          </w:p>
          <w:p w:rsidR="00EF3BD1" w:rsidRDefault="00EF3BD1" w:rsidP="00EF3BD1">
            <w:pPr>
              <w:pStyle w:val="Default"/>
              <w:numPr>
                <w:ilvl w:val="0"/>
                <w:numId w:val="35"/>
              </w:numPr>
              <w:ind w:left="360"/>
              <w:rPr>
                <w:sz w:val="22"/>
                <w:szCs w:val="22"/>
              </w:rPr>
            </w:pPr>
            <w:r>
              <w:rPr>
                <w:sz w:val="22"/>
                <w:szCs w:val="22"/>
              </w:rPr>
              <w:t xml:space="preserve">Support with grant applications and grant monitoring from </w:t>
            </w:r>
            <w:r w:rsidR="005A57C1">
              <w:rPr>
                <w:sz w:val="22"/>
                <w:szCs w:val="22"/>
              </w:rPr>
              <w:t>their</w:t>
            </w:r>
            <w:r>
              <w:rPr>
                <w:sz w:val="22"/>
                <w:szCs w:val="22"/>
              </w:rPr>
              <w:t xml:space="preserve"> PCPA team.</w:t>
            </w:r>
          </w:p>
          <w:p w:rsidR="00EF3BD1" w:rsidRDefault="00EF3BD1" w:rsidP="00EF3BD1">
            <w:pPr>
              <w:pStyle w:val="Default"/>
              <w:numPr>
                <w:ilvl w:val="0"/>
                <w:numId w:val="35"/>
              </w:numPr>
              <w:ind w:left="360"/>
              <w:rPr>
                <w:sz w:val="22"/>
                <w:szCs w:val="22"/>
              </w:rPr>
            </w:pPr>
            <w:r>
              <w:rPr>
                <w:sz w:val="22"/>
                <w:szCs w:val="22"/>
              </w:rPr>
              <w:t xml:space="preserve">Administration of the grant application and monitoring process to ensure that the grant application and monitoring meet the defined conditions of grant as set by the </w:t>
            </w:r>
            <w:proofErr w:type="spellStart"/>
            <w:r>
              <w:rPr>
                <w:sz w:val="22"/>
                <w:szCs w:val="22"/>
              </w:rPr>
              <w:t>DfE</w:t>
            </w:r>
            <w:proofErr w:type="spellEnd"/>
            <w:r>
              <w:rPr>
                <w:sz w:val="22"/>
                <w:szCs w:val="22"/>
              </w:rPr>
              <w:t>.</w:t>
            </w:r>
          </w:p>
          <w:p w:rsidR="00EF3BD1" w:rsidRDefault="00EF3BD1" w:rsidP="00EF3BD1">
            <w:pPr>
              <w:pStyle w:val="Default"/>
              <w:rPr>
                <w:sz w:val="22"/>
                <w:szCs w:val="22"/>
              </w:rPr>
            </w:pPr>
          </w:p>
          <w:p w:rsidR="00EF3BD1" w:rsidRDefault="00EF3BD1" w:rsidP="00EF3BD1">
            <w:pPr>
              <w:pStyle w:val="Default"/>
              <w:numPr>
                <w:ilvl w:val="0"/>
                <w:numId w:val="35"/>
              </w:numPr>
              <w:ind w:left="360"/>
              <w:rPr>
                <w:sz w:val="22"/>
                <w:szCs w:val="22"/>
              </w:rPr>
            </w:pPr>
            <w:r w:rsidRPr="00F81917">
              <w:rPr>
                <w:sz w:val="22"/>
                <w:szCs w:val="22"/>
              </w:rPr>
              <w:t xml:space="preserve">Information and resources to support </w:t>
            </w:r>
            <w:r>
              <w:rPr>
                <w:sz w:val="22"/>
                <w:szCs w:val="22"/>
              </w:rPr>
              <w:t>forums’</w:t>
            </w:r>
            <w:r w:rsidRPr="00F81917">
              <w:rPr>
                <w:sz w:val="22"/>
                <w:szCs w:val="22"/>
              </w:rPr>
              <w:t xml:space="preserve"> engagement with health partners locally, and ro</w:t>
            </w:r>
            <w:r>
              <w:rPr>
                <w:sz w:val="22"/>
                <w:szCs w:val="22"/>
              </w:rPr>
              <w:t>utes to provide feedback on forums’</w:t>
            </w:r>
            <w:r w:rsidRPr="00F81917">
              <w:rPr>
                <w:sz w:val="22"/>
                <w:szCs w:val="22"/>
              </w:rPr>
              <w:t xml:space="preserve"> experiences to NHS England and other</w:t>
            </w:r>
            <w:r>
              <w:rPr>
                <w:sz w:val="22"/>
                <w:szCs w:val="22"/>
              </w:rPr>
              <w:t xml:space="preserve"> health bodies</w:t>
            </w:r>
            <w:r w:rsidRPr="00F81917">
              <w:rPr>
                <w:sz w:val="22"/>
                <w:szCs w:val="22"/>
              </w:rPr>
              <w:t xml:space="preserve"> via our Strategic Health Manager</w:t>
            </w:r>
          </w:p>
        </w:tc>
        <w:tc>
          <w:tcPr>
            <w:tcW w:w="3563" w:type="dxa"/>
          </w:tcPr>
          <w:p w:rsidR="00EF3BD1" w:rsidRDefault="00EF3BD1" w:rsidP="00EF3BD1">
            <w:pPr>
              <w:pStyle w:val="Default"/>
              <w:rPr>
                <w:sz w:val="22"/>
                <w:szCs w:val="22"/>
              </w:rPr>
            </w:pPr>
            <w:r>
              <w:rPr>
                <w:sz w:val="22"/>
                <w:szCs w:val="22"/>
              </w:rPr>
              <w:t xml:space="preserve">To find out the named Parent Carer Participation Advisor for your local area or region, please click </w:t>
            </w:r>
            <w:hyperlink r:id="rId34" w:history="1">
              <w:r>
                <w:rPr>
                  <w:rStyle w:val="Hyperlink"/>
                  <w:sz w:val="22"/>
                  <w:szCs w:val="22"/>
                </w:rPr>
                <w:t>here</w:t>
              </w:r>
            </w:hyperlink>
            <w:r>
              <w:rPr>
                <w:sz w:val="22"/>
                <w:szCs w:val="22"/>
              </w:rPr>
              <w:t xml:space="preserve">  </w:t>
            </w:r>
          </w:p>
          <w:p w:rsidR="00EF3BD1" w:rsidRDefault="00EF3BD1" w:rsidP="00EF3BD1">
            <w:pPr>
              <w:pStyle w:val="Default"/>
              <w:rPr>
                <w:sz w:val="22"/>
                <w:szCs w:val="22"/>
              </w:rPr>
            </w:pPr>
          </w:p>
          <w:p w:rsidR="00EF3BD1" w:rsidRDefault="00EF3BD1" w:rsidP="00EF3BD1">
            <w:pPr>
              <w:pStyle w:val="Default"/>
              <w:rPr>
                <w:sz w:val="22"/>
                <w:szCs w:val="22"/>
              </w:rPr>
            </w:pPr>
          </w:p>
          <w:p w:rsidR="00EF3BD1" w:rsidRDefault="00EF3BD1" w:rsidP="00EF3BD1">
            <w:pPr>
              <w:pStyle w:val="Default"/>
              <w:rPr>
                <w:sz w:val="22"/>
                <w:szCs w:val="22"/>
              </w:rPr>
            </w:pPr>
          </w:p>
          <w:p w:rsidR="00EF3BD1" w:rsidRDefault="00EF3BD1" w:rsidP="00EF3BD1">
            <w:pPr>
              <w:pStyle w:val="Default"/>
              <w:rPr>
                <w:sz w:val="22"/>
                <w:szCs w:val="22"/>
              </w:rPr>
            </w:pPr>
          </w:p>
          <w:p w:rsidR="00EF3BD1" w:rsidRDefault="00EF3BD1" w:rsidP="00EF3BD1">
            <w:pPr>
              <w:pStyle w:val="Default"/>
              <w:rPr>
                <w:sz w:val="22"/>
                <w:szCs w:val="22"/>
              </w:rPr>
            </w:pPr>
          </w:p>
          <w:p w:rsidR="00EF3BD1" w:rsidRDefault="00EF3BD1" w:rsidP="00EF3BD1">
            <w:pPr>
              <w:pStyle w:val="Default"/>
              <w:rPr>
                <w:sz w:val="22"/>
                <w:szCs w:val="22"/>
              </w:rPr>
            </w:pPr>
          </w:p>
          <w:p w:rsidR="00EF3BD1" w:rsidRDefault="00EF3BD1" w:rsidP="00EF3BD1">
            <w:pPr>
              <w:pStyle w:val="Default"/>
              <w:rPr>
                <w:sz w:val="22"/>
                <w:szCs w:val="22"/>
              </w:rPr>
            </w:pPr>
          </w:p>
          <w:p w:rsidR="00EF3BD1" w:rsidRDefault="00EF3BD1" w:rsidP="00EF3BD1">
            <w:pPr>
              <w:pStyle w:val="Default"/>
              <w:rPr>
                <w:sz w:val="22"/>
                <w:szCs w:val="22"/>
              </w:rPr>
            </w:pPr>
          </w:p>
          <w:p w:rsidR="00EF3BD1" w:rsidRDefault="00EF3BD1" w:rsidP="00EF3BD1">
            <w:pPr>
              <w:pStyle w:val="Default"/>
              <w:rPr>
                <w:sz w:val="22"/>
                <w:szCs w:val="22"/>
              </w:rPr>
            </w:pPr>
          </w:p>
          <w:p w:rsidR="00EF3BD1" w:rsidRDefault="00EF3BD1" w:rsidP="00EF3BD1">
            <w:pPr>
              <w:pStyle w:val="Default"/>
              <w:rPr>
                <w:sz w:val="22"/>
                <w:szCs w:val="22"/>
              </w:rPr>
            </w:pPr>
            <w:r>
              <w:rPr>
                <w:sz w:val="22"/>
                <w:szCs w:val="22"/>
              </w:rPr>
              <w:t xml:space="preserve">For information about the grant process, please click </w:t>
            </w:r>
            <w:hyperlink r:id="rId35" w:history="1">
              <w:r>
                <w:rPr>
                  <w:rStyle w:val="Hyperlink"/>
                  <w:sz w:val="22"/>
                  <w:szCs w:val="22"/>
                </w:rPr>
                <w:t>here</w:t>
              </w:r>
            </w:hyperlink>
            <w:r>
              <w:rPr>
                <w:sz w:val="22"/>
                <w:szCs w:val="22"/>
              </w:rPr>
              <w:t xml:space="preserve"> </w:t>
            </w:r>
          </w:p>
          <w:p w:rsidR="00EF3BD1" w:rsidRDefault="00EF3BD1" w:rsidP="00EF3BD1">
            <w:pPr>
              <w:pStyle w:val="Default"/>
              <w:rPr>
                <w:sz w:val="22"/>
                <w:szCs w:val="22"/>
              </w:rPr>
            </w:pPr>
          </w:p>
          <w:p w:rsidR="00EF3BD1" w:rsidRDefault="00EF3BD1" w:rsidP="00EF3BD1">
            <w:pPr>
              <w:pStyle w:val="Default"/>
              <w:rPr>
                <w:sz w:val="22"/>
                <w:szCs w:val="22"/>
              </w:rPr>
            </w:pPr>
          </w:p>
          <w:p w:rsidR="00EF3BD1" w:rsidRDefault="00EF3BD1" w:rsidP="00EF3BD1">
            <w:pPr>
              <w:pStyle w:val="Default"/>
              <w:rPr>
                <w:sz w:val="22"/>
                <w:szCs w:val="22"/>
              </w:rPr>
            </w:pPr>
            <w:r>
              <w:rPr>
                <w:sz w:val="22"/>
                <w:szCs w:val="22"/>
              </w:rPr>
              <w:t xml:space="preserve">To find out about </w:t>
            </w:r>
            <w:r w:rsidR="005A57C1">
              <w:rPr>
                <w:sz w:val="22"/>
                <w:szCs w:val="22"/>
              </w:rPr>
              <w:t>Contact a Family’s</w:t>
            </w:r>
            <w:r>
              <w:rPr>
                <w:sz w:val="22"/>
                <w:szCs w:val="22"/>
              </w:rPr>
              <w:t xml:space="preserve"> health work, click </w:t>
            </w:r>
            <w:hyperlink r:id="rId36" w:history="1">
              <w:r>
                <w:rPr>
                  <w:rStyle w:val="Hyperlink"/>
                  <w:sz w:val="22"/>
                  <w:szCs w:val="22"/>
                </w:rPr>
                <w:t>here</w:t>
              </w:r>
            </w:hyperlink>
            <w:r>
              <w:rPr>
                <w:sz w:val="22"/>
                <w:szCs w:val="22"/>
              </w:rPr>
              <w:t xml:space="preserve"> </w:t>
            </w:r>
          </w:p>
        </w:tc>
      </w:tr>
      <w:tr w:rsidR="00EF3BD1" w:rsidTr="00B21746">
        <w:tc>
          <w:tcPr>
            <w:tcW w:w="1526" w:type="dxa"/>
            <w:vMerge/>
            <w:shd w:val="clear" w:color="auto" w:fill="548DD4" w:themeFill="text2" w:themeFillTint="99"/>
          </w:tcPr>
          <w:p w:rsidR="00EF3BD1" w:rsidRDefault="00EF3BD1" w:rsidP="00EF3BD1">
            <w:pPr>
              <w:rPr>
                <w:b/>
                <w:color w:val="F2F2F2" w:themeColor="background1" w:themeShade="F2"/>
              </w:rPr>
            </w:pPr>
          </w:p>
        </w:tc>
        <w:tc>
          <w:tcPr>
            <w:tcW w:w="1559" w:type="dxa"/>
            <w:vMerge/>
          </w:tcPr>
          <w:p w:rsidR="00EF3BD1" w:rsidRDefault="00EF3BD1" w:rsidP="00EF3BD1"/>
        </w:tc>
        <w:tc>
          <w:tcPr>
            <w:tcW w:w="4111" w:type="dxa"/>
          </w:tcPr>
          <w:p w:rsidR="00EF3BD1" w:rsidRDefault="00EF3BD1" w:rsidP="00EF3BD1">
            <w:pPr>
              <w:pStyle w:val="Default"/>
              <w:rPr>
                <w:sz w:val="22"/>
                <w:szCs w:val="22"/>
              </w:rPr>
            </w:pPr>
            <w:r>
              <w:rPr>
                <w:sz w:val="22"/>
                <w:szCs w:val="22"/>
              </w:rPr>
              <w:t xml:space="preserve">Online and other resources </w:t>
            </w:r>
          </w:p>
        </w:tc>
        <w:tc>
          <w:tcPr>
            <w:tcW w:w="10064" w:type="dxa"/>
          </w:tcPr>
          <w:p w:rsidR="00EF3BD1" w:rsidRDefault="005A57C1" w:rsidP="00EF3BD1">
            <w:pPr>
              <w:pStyle w:val="Default"/>
              <w:numPr>
                <w:ilvl w:val="0"/>
                <w:numId w:val="36"/>
              </w:numPr>
              <w:rPr>
                <w:sz w:val="22"/>
                <w:szCs w:val="22"/>
              </w:rPr>
            </w:pPr>
            <w:r>
              <w:rPr>
                <w:sz w:val="22"/>
                <w:szCs w:val="22"/>
              </w:rPr>
              <w:t>Contact a Family</w:t>
            </w:r>
            <w:r w:rsidR="00EF3BD1">
              <w:rPr>
                <w:sz w:val="22"/>
                <w:szCs w:val="22"/>
              </w:rPr>
              <w:t xml:space="preserve"> have a range of online and other resources to support parent carer participation available for use by parent carers or practitioners. They include: </w:t>
            </w:r>
          </w:p>
          <w:p w:rsidR="00EF3BD1" w:rsidRDefault="00EF3BD1" w:rsidP="00EF3BD1">
            <w:pPr>
              <w:pStyle w:val="Default"/>
              <w:numPr>
                <w:ilvl w:val="1"/>
                <w:numId w:val="37"/>
              </w:numPr>
              <w:rPr>
                <w:sz w:val="22"/>
                <w:szCs w:val="22"/>
              </w:rPr>
            </w:pPr>
            <w:r>
              <w:rPr>
                <w:sz w:val="22"/>
                <w:szCs w:val="22"/>
              </w:rPr>
              <w:t xml:space="preserve">Template policies and procedures </w:t>
            </w:r>
          </w:p>
          <w:p w:rsidR="00EF3BD1" w:rsidRDefault="00EF3BD1" w:rsidP="00EF3BD1">
            <w:pPr>
              <w:pStyle w:val="Default"/>
              <w:numPr>
                <w:ilvl w:val="1"/>
                <w:numId w:val="37"/>
              </w:numPr>
              <w:rPr>
                <w:sz w:val="22"/>
                <w:szCs w:val="22"/>
              </w:rPr>
            </w:pPr>
            <w:r>
              <w:rPr>
                <w:sz w:val="22"/>
                <w:szCs w:val="22"/>
              </w:rPr>
              <w:t xml:space="preserve">Webinars, videos and associated supporting materials </w:t>
            </w:r>
          </w:p>
          <w:p w:rsidR="00EF3BD1" w:rsidRDefault="00EF3BD1" w:rsidP="00EF3BD1">
            <w:pPr>
              <w:pStyle w:val="Default"/>
              <w:numPr>
                <w:ilvl w:val="1"/>
                <w:numId w:val="37"/>
              </w:numPr>
              <w:rPr>
                <w:sz w:val="22"/>
                <w:szCs w:val="22"/>
              </w:rPr>
            </w:pPr>
            <w:r>
              <w:rPr>
                <w:sz w:val="22"/>
                <w:szCs w:val="22"/>
              </w:rPr>
              <w:t xml:space="preserve">Films on co-production </w:t>
            </w:r>
          </w:p>
          <w:p w:rsidR="00EF3BD1" w:rsidRDefault="00EF3BD1" w:rsidP="00EF3BD1">
            <w:pPr>
              <w:pStyle w:val="Default"/>
              <w:numPr>
                <w:ilvl w:val="1"/>
                <w:numId w:val="37"/>
              </w:numPr>
              <w:rPr>
                <w:sz w:val="22"/>
                <w:szCs w:val="22"/>
              </w:rPr>
            </w:pPr>
            <w:r>
              <w:rPr>
                <w:sz w:val="22"/>
                <w:szCs w:val="22"/>
              </w:rPr>
              <w:t xml:space="preserve">Our Joint Bulletin – News and information for forums from </w:t>
            </w:r>
            <w:proofErr w:type="spellStart"/>
            <w:r>
              <w:rPr>
                <w:sz w:val="22"/>
                <w:szCs w:val="22"/>
              </w:rPr>
              <w:t>CaF</w:t>
            </w:r>
            <w:proofErr w:type="spellEnd"/>
            <w:r>
              <w:rPr>
                <w:sz w:val="22"/>
                <w:szCs w:val="22"/>
              </w:rPr>
              <w:t xml:space="preserve"> the NNPCF </w:t>
            </w:r>
          </w:p>
          <w:p w:rsidR="00EF3BD1" w:rsidRDefault="00EF3BD1" w:rsidP="00EF3BD1">
            <w:pPr>
              <w:pStyle w:val="Default"/>
              <w:numPr>
                <w:ilvl w:val="1"/>
                <w:numId w:val="37"/>
              </w:numPr>
              <w:rPr>
                <w:sz w:val="22"/>
                <w:szCs w:val="22"/>
              </w:rPr>
            </w:pPr>
            <w:r>
              <w:rPr>
                <w:sz w:val="22"/>
                <w:szCs w:val="22"/>
              </w:rPr>
              <w:t xml:space="preserve">Information and guidance relating to the </w:t>
            </w:r>
            <w:proofErr w:type="spellStart"/>
            <w:r>
              <w:rPr>
                <w:sz w:val="22"/>
                <w:szCs w:val="22"/>
              </w:rPr>
              <w:t>DfE</w:t>
            </w:r>
            <w:proofErr w:type="spellEnd"/>
            <w:r>
              <w:rPr>
                <w:sz w:val="22"/>
                <w:szCs w:val="22"/>
              </w:rPr>
              <w:t xml:space="preserve"> Parent Carer Participation Grant </w:t>
            </w:r>
          </w:p>
          <w:p w:rsidR="00EF3BD1" w:rsidRDefault="00EF3BD1" w:rsidP="00EF3BD1">
            <w:pPr>
              <w:pStyle w:val="Default"/>
              <w:numPr>
                <w:ilvl w:val="1"/>
                <w:numId w:val="37"/>
              </w:numPr>
              <w:rPr>
                <w:sz w:val="22"/>
                <w:szCs w:val="22"/>
              </w:rPr>
            </w:pPr>
            <w:r>
              <w:rPr>
                <w:sz w:val="22"/>
                <w:szCs w:val="22"/>
              </w:rPr>
              <w:t>Annual Event and NNPCF AGM</w:t>
            </w:r>
          </w:p>
          <w:p w:rsidR="00EF3BD1" w:rsidRDefault="00EF3BD1" w:rsidP="00EF3BD1">
            <w:pPr>
              <w:pStyle w:val="Default"/>
              <w:numPr>
                <w:ilvl w:val="1"/>
                <w:numId w:val="37"/>
              </w:numPr>
              <w:rPr>
                <w:sz w:val="22"/>
                <w:szCs w:val="22"/>
              </w:rPr>
            </w:pPr>
            <w:r>
              <w:rPr>
                <w:sz w:val="22"/>
                <w:szCs w:val="22"/>
              </w:rPr>
              <w:t>Annual report on Strengthening Parent Carer Participation</w:t>
            </w:r>
          </w:p>
          <w:p w:rsidR="00EF3BD1" w:rsidRDefault="00EF3BD1" w:rsidP="00EF3BD1">
            <w:pPr>
              <w:pStyle w:val="Default"/>
              <w:numPr>
                <w:ilvl w:val="1"/>
                <w:numId w:val="37"/>
              </w:numPr>
              <w:rPr>
                <w:sz w:val="22"/>
                <w:szCs w:val="22"/>
              </w:rPr>
            </w:pPr>
            <w:r>
              <w:rPr>
                <w:sz w:val="22"/>
                <w:szCs w:val="22"/>
              </w:rPr>
              <w:t>Freephone helpline, online, social media and web support</w:t>
            </w:r>
          </w:p>
          <w:p w:rsidR="00EF3BD1" w:rsidRDefault="00EF3BD1" w:rsidP="00EF3BD1">
            <w:pPr>
              <w:pStyle w:val="Default"/>
              <w:numPr>
                <w:ilvl w:val="1"/>
                <w:numId w:val="37"/>
              </w:numPr>
              <w:rPr>
                <w:sz w:val="22"/>
                <w:szCs w:val="22"/>
              </w:rPr>
            </w:pPr>
            <w:r>
              <w:rPr>
                <w:sz w:val="22"/>
                <w:szCs w:val="22"/>
              </w:rPr>
              <w:t>Anonymous helpline data for forums to help to prioritise key issues and themes for their local work</w:t>
            </w:r>
          </w:p>
          <w:p w:rsidR="00EF3BD1" w:rsidRDefault="00EF3BD1" w:rsidP="00EF3BD1">
            <w:pPr>
              <w:pStyle w:val="Default"/>
              <w:rPr>
                <w:sz w:val="22"/>
                <w:szCs w:val="22"/>
              </w:rPr>
            </w:pPr>
          </w:p>
        </w:tc>
        <w:tc>
          <w:tcPr>
            <w:tcW w:w="3563" w:type="dxa"/>
          </w:tcPr>
          <w:p w:rsidR="00EF3BD1" w:rsidRDefault="00EF3BD1" w:rsidP="00EF3BD1">
            <w:pPr>
              <w:pStyle w:val="Default"/>
              <w:rPr>
                <w:sz w:val="22"/>
                <w:szCs w:val="22"/>
              </w:rPr>
            </w:pPr>
            <w:r>
              <w:rPr>
                <w:sz w:val="22"/>
                <w:szCs w:val="22"/>
              </w:rPr>
              <w:t xml:space="preserve">If you would like to be notified of </w:t>
            </w:r>
            <w:r w:rsidR="005A57C1">
              <w:rPr>
                <w:sz w:val="22"/>
                <w:szCs w:val="22"/>
              </w:rPr>
              <w:t>their</w:t>
            </w:r>
            <w:r>
              <w:rPr>
                <w:sz w:val="22"/>
                <w:szCs w:val="22"/>
              </w:rPr>
              <w:t xml:space="preserve"> upcoming webinars please contact </w:t>
            </w:r>
            <w:hyperlink r:id="rId37" w:history="1">
              <w:r w:rsidRPr="005F7386">
                <w:rPr>
                  <w:rStyle w:val="Hyperlink"/>
                  <w:sz w:val="22"/>
                  <w:szCs w:val="22"/>
                </w:rPr>
                <w:t>parent.participation@cafamily.org.uk</w:t>
              </w:r>
            </w:hyperlink>
            <w:r>
              <w:rPr>
                <w:sz w:val="22"/>
                <w:szCs w:val="22"/>
              </w:rPr>
              <w:t xml:space="preserve"> </w:t>
            </w:r>
          </w:p>
          <w:p w:rsidR="00EF3BD1" w:rsidRDefault="00EF3BD1" w:rsidP="00EF3BD1">
            <w:pPr>
              <w:pStyle w:val="Default"/>
              <w:rPr>
                <w:sz w:val="22"/>
                <w:szCs w:val="22"/>
              </w:rPr>
            </w:pPr>
          </w:p>
          <w:p w:rsidR="00EF3BD1" w:rsidRDefault="00EF3BD1" w:rsidP="00EF3BD1">
            <w:pPr>
              <w:pStyle w:val="Default"/>
              <w:rPr>
                <w:sz w:val="22"/>
                <w:szCs w:val="22"/>
              </w:rPr>
            </w:pPr>
            <w:r>
              <w:rPr>
                <w:sz w:val="22"/>
                <w:szCs w:val="22"/>
              </w:rPr>
              <w:t xml:space="preserve">If you would like to sign up to receive </w:t>
            </w:r>
            <w:r w:rsidR="005A57C1">
              <w:rPr>
                <w:sz w:val="22"/>
                <w:szCs w:val="22"/>
              </w:rPr>
              <w:t>their</w:t>
            </w:r>
            <w:r>
              <w:rPr>
                <w:sz w:val="22"/>
                <w:szCs w:val="22"/>
              </w:rPr>
              <w:t xml:space="preserve"> joint bulletin, please click  </w:t>
            </w:r>
            <w:hyperlink r:id="rId38" w:history="1">
              <w:r>
                <w:rPr>
                  <w:rStyle w:val="Hyperlink"/>
                  <w:sz w:val="22"/>
                  <w:szCs w:val="22"/>
                </w:rPr>
                <w:t>here</w:t>
              </w:r>
            </w:hyperlink>
            <w:r>
              <w:rPr>
                <w:sz w:val="22"/>
                <w:szCs w:val="22"/>
              </w:rPr>
              <w:t xml:space="preserve"> </w:t>
            </w:r>
          </w:p>
        </w:tc>
      </w:tr>
      <w:tr w:rsidR="00EF3BD1" w:rsidTr="00B21746">
        <w:tc>
          <w:tcPr>
            <w:tcW w:w="1526" w:type="dxa"/>
            <w:vMerge/>
            <w:shd w:val="clear" w:color="auto" w:fill="548DD4" w:themeFill="text2" w:themeFillTint="99"/>
          </w:tcPr>
          <w:p w:rsidR="00EF3BD1" w:rsidRDefault="00EF3BD1" w:rsidP="00EF3BD1">
            <w:pPr>
              <w:rPr>
                <w:b/>
                <w:color w:val="F2F2F2" w:themeColor="background1" w:themeShade="F2"/>
              </w:rPr>
            </w:pPr>
          </w:p>
        </w:tc>
        <w:tc>
          <w:tcPr>
            <w:tcW w:w="1559" w:type="dxa"/>
            <w:vMerge/>
          </w:tcPr>
          <w:p w:rsidR="00EF3BD1" w:rsidRDefault="00EF3BD1" w:rsidP="00EF3BD1"/>
        </w:tc>
        <w:tc>
          <w:tcPr>
            <w:tcW w:w="4111" w:type="dxa"/>
          </w:tcPr>
          <w:p w:rsidR="00EF3BD1" w:rsidRDefault="00EF3BD1" w:rsidP="00EF3BD1">
            <w:pPr>
              <w:pStyle w:val="Default"/>
              <w:rPr>
                <w:sz w:val="22"/>
                <w:szCs w:val="22"/>
              </w:rPr>
            </w:pPr>
            <w:r>
              <w:rPr>
                <w:sz w:val="22"/>
                <w:szCs w:val="22"/>
              </w:rPr>
              <w:t xml:space="preserve">Targeted, intensive support </w:t>
            </w:r>
          </w:p>
        </w:tc>
        <w:tc>
          <w:tcPr>
            <w:tcW w:w="10064" w:type="dxa"/>
          </w:tcPr>
          <w:p w:rsidR="00EF3BD1" w:rsidRDefault="00EF3BD1" w:rsidP="00EF3BD1">
            <w:pPr>
              <w:pStyle w:val="Default"/>
              <w:numPr>
                <w:ilvl w:val="0"/>
                <w:numId w:val="39"/>
              </w:numPr>
              <w:rPr>
                <w:sz w:val="22"/>
                <w:szCs w:val="22"/>
              </w:rPr>
            </w:pPr>
            <w:r>
              <w:rPr>
                <w:sz w:val="22"/>
                <w:szCs w:val="22"/>
              </w:rPr>
              <w:t xml:space="preserve">Genuine, meaningful parent carer participation and co-production takes sustained commitment, time, energy and understanding by all partners to get right.  For a variety of reasons, it may be challenging or may go awry despite the best of intentions.  To help with such situations, </w:t>
            </w:r>
            <w:r w:rsidR="005A57C1">
              <w:rPr>
                <w:sz w:val="22"/>
                <w:szCs w:val="22"/>
              </w:rPr>
              <w:t>Contact a Family</w:t>
            </w:r>
            <w:r>
              <w:rPr>
                <w:sz w:val="22"/>
                <w:szCs w:val="22"/>
              </w:rPr>
              <w:t xml:space="preserve"> are able to provide intensive, targeted support from skilled and experienced Associates.  Parent Carers, Local Authorities, Health Partners or voluntary sector partners can discuss additional targeted support by contacting the named Parent Carer Participation Advisor for the local area they are from. </w:t>
            </w:r>
          </w:p>
          <w:p w:rsidR="00EF3BD1" w:rsidRDefault="00EF3BD1" w:rsidP="00EF3BD1">
            <w:pPr>
              <w:pStyle w:val="Default"/>
              <w:ind w:left="360"/>
              <w:rPr>
                <w:sz w:val="22"/>
                <w:szCs w:val="22"/>
              </w:rPr>
            </w:pPr>
          </w:p>
        </w:tc>
        <w:tc>
          <w:tcPr>
            <w:tcW w:w="3563" w:type="dxa"/>
          </w:tcPr>
          <w:p w:rsidR="00EF3BD1" w:rsidRDefault="00EF3BD1" w:rsidP="00EF3BD1">
            <w:pPr>
              <w:pStyle w:val="Default"/>
              <w:rPr>
                <w:sz w:val="22"/>
                <w:szCs w:val="22"/>
              </w:rPr>
            </w:pPr>
            <w:r>
              <w:rPr>
                <w:sz w:val="22"/>
                <w:szCs w:val="22"/>
              </w:rPr>
              <w:t xml:space="preserve">To find out the named Parent Carer Participation Advisor for your local area or Region please click </w:t>
            </w:r>
            <w:hyperlink r:id="rId39" w:history="1">
              <w:r>
                <w:rPr>
                  <w:rStyle w:val="Hyperlink"/>
                  <w:sz w:val="22"/>
                  <w:szCs w:val="22"/>
                </w:rPr>
                <w:t>here</w:t>
              </w:r>
            </w:hyperlink>
            <w:r>
              <w:rPr>
                <w:sz w:val="22"/>
                <w:szCs w:val="22"/>
              </w:rPr>
              <w:t xml:space="preserve">  </w:t>
            </w:r>
          </w:p>
        </w:tc>
      </w:tr>
      <w:tr w:rsidR="00EF3BD1" w:rsidTr="00B21746">
        <w:tc>
          <w:tcPr>
            <w:tcW w:w="1526" w:type="dxa"/>
            <w:vMerge/>
            <w:shd w:val="clear" w:color="auto" w:fill="548DD4" w:themeFill="text2" w:themeFillTint="99"/>
          </w:tcPr>
          <w:p w:rsidR="00EF3BD1" w:rsidRPr="00B21746" w:rsidRDefault="00EF3BD1" w:rsidP="00EF3BD1">
            <w:pPr>
              <w:rPr>
                <w:b/>
                <w:color w:val="FFFFFF" w:themeColor="background1"/>
              </w:rPr>
            </w:pPr>
          </w:p>
        </w:tc>
        <w:tc>
          <w:tcPr>
            <w:tcW w:w="1559" w:type="dxa"/>
            <w:vMerge/>
          </w:tcPr>
          <w:p w:rsidR="00EF3BD1" w:rsidRDefault="00EF3BD1" w:rsidP="00EF3BD1"/>
        </w:tc>
        <w:tc>
          <w:tcPr>
            <w:tcW w:w="4111" w:type="dxa"/>
          </w:tcPr>
          <w:p w:rsidR="00EF3BD1" w:rsidRDefault="00EF3BD1" w:rsidP="00EF3BD1">
            <w:pPr>
              <w:pStyle w:val="Default"/>
              <w:rPr>
                <w:sz w:val="22"/>
                <w:szCs w:val="22"/>
              </w:rPr>
            </w:pPr>
            <w:r>
              <w:rPr>
                <w:sz w:val="22"/>
                <w:szCs w:val="22"/>
              </w:rPr>
              <w:t xml:space="preserve">Support to the National Network of Parent Carer Forums NNPCF </w:t>
            </w:r>
          </w:p>
        </w:tc>
        <w:tc>
          <w:tcPr>
            <w:tcW w:w="10064" w:type="dxa"/>
          </w:tcPr>
          <w:p w:rsidR="00EF3BD1" w:rsidRDefault="00EF3BD1" w:rsidP="00EF3BD1">
            <w:pPr>
              <w:pStyle w:val="Default"/>
              <w:numPr>
                <w:ilvl w:val="0"/>
                <w:numId w:val="39"/>
              </w:numPr>
              <w:rPr>
                <w:sz w:val="22"/>
                <w:szCs w:val="22"/>
              </w:rPr>
            </w:pPr>
            <w:r>
              <w:rPr>
                <w:sz w:val="22"/>
                <w:szCs w:val="22"/>
              </w:rPr>
              <w:t xml:space="preserve">Contact a Family will continue to provide operational support to, and work in partnership with, the NNPCF steering group in 2017/18. The NNPCF Steering Group are funded to enable parent carer representation and co-production in regional and national strategic decision making.  All </w:t>
            </w:r>
            <w:proofErr w:type="spellStart"/>
            <w:r>
              <w:rPr>
                <w:sz w:val="22"/>
                <w:szCs w:val="22"/>
              </w:rPr>
              <w:t>DfE</w:t>
            </w:r>
            <w:proofErr w:type="spellEnd"/>
            <w:r>
              <w:rPr>
                <w:sz w:val="22"/>
                <w:szCs w:val="22"/>
              </w:rPr>
              <w:t xml:space="preserve"> funded parent carer forums are members of the NNPCF, which creates a network of over 83,000 parent carers, whose feedback and experiences they draw fro</w:t>
            </w:r>
            <w:r w:rsidRPr="00EF3BD1">
              <w:rPr>
                <w:sz w:val="22"/>
                <w:szCs w:val="22"/>
              </w:rPr>
              <w:t xml:space="preserve">m to ensure their representatives are informed by local and regional intelligence. </w:t>
            </w:r>
          </w:p>
          <w:p w:rsidR="00EF3BD1" w:rsidRPr="00EF3BD1" w:rsidRDefault="00EF3BD1" w:rsidP="00EF3BD1">
            <w:pPr>
              <w:pStyle w:val="Default"/>
              <w:ind w:left="360"/>
              <w:rPr>
                <w:sz w:val="22"/>
                <w:szCs w:val="22"/>
              </w:rPr>
            </w:pPr>
          </w:p>
        </w:tc>
        <w:tc>
          <w:tcPr>
            <w:tcW w:w="3563" w:type="dxa"/>
          </w:tcPr>
          <w:p w:rsidR="00EF3BD1" w:rsidRDefault="00EF3BD1" w:rsidP="00EF3BD1">
            <w:pPr>
              <w:pStyle w:val="Default"/>
              <w:rPr>
                <w:sz w:val="22"/>
                <w:szCs w:val="22"/>
              </w:rPr>
            </w:pPr>
            <w:r>
              <w:rPr>
                <w:sz w:val="22"/>
                <w:szCs w:val="22"/>
              </w:rPr>
              <w:lastRenderedPageBreak/>
              <w:t xml:space="preserve">To find out more about the NNPCF please visit </w:t>
            </w:r>
            <w:hyperlink r:id="rId40" w:history="1">
              <w:r w:rsidRPr="005F7386">
                <w:rPr>
                  <w:rStyle w:val="Hyperlink"/>
                  <w:sz w:val="22"/>
                  <w:szCs w:val="22"/>
                </w:rPr>
                <w:t>www.nnpcf.org.uk</w:t>
              </w:r>
            </w:hyperlink>
            <w:r>
              <w:rPr>
                <w:sz w:val="22"/>
                <w:szCs w:val="22"/>
              </w:rPr>
              <w:t xml:space="preserve">  </w:t>
            </w:r>
          </w:p>
        </w:tc>
      </w:tr>
      <w:tr w:rsidR="00E754C1" w:rsidTr="00B21746">
        <w:tc>
          <w:tcPr>
            <w:tcW w:w="1526" w:type="dxa"/>
            <w:shd w:val="clear" w:color="auto" w:fill="548DD4" w:themeFill="text2" w:themeFillTint="99"/>
          </w:tcPr>
          <w:p w:rsidR="00E754C1" w:rsidRPr="00746872" w:rsidRDefault="00E754C1" w:rsidP="00E754C1">
            <w:pPr>
              <w:rPr>
                <w:b/>
                <w:color w:val="FFFFFF" w:themeColor="background1"/>
              </w:rPr>
            </w:pPr>
            <w:r w:rsidRPr="00B21746">
              <w:rPr>
                <w:b/>
                <w:color w:val="FFFFFF" w:themeColor="background1"/>
              </w:rPr>
              <w:lastRenderedPageBreak/>
              <w:t>Strategic Reform Partner</w:t>
            </w:r>
            <w:r w:rsidRPr="00B21746">
              <w:rPr>
                <w:b/>
                <w:color w:val="FFFFFF" w:themeColor="background1"/>
              </w:rPr>
              <w:tab/>
            </w:r>
          </w:p>
        </w:tc>
        <w:tc>
          <w:tcPr>
            <w:tcW w:w="1559" w:type="dxa"/>
          </w:tcPr>
          <w:p w:rsidR="00E754C1" w:rsidRDefault="00E754C1" w:rsidP="00E754C1">
            <w:r>
              <w:t>Council for Disabled Children</w:t>
            </w:r>
          </w:p>
          <w:p w:rsidR="00E754C1" w:rsidRDefault="00E754C1" w:rsidP="00E754C1"/>
        </w:tc>
        <w:tc>
          <w:tcPr>
            <w:tcW w:w="4111" w:type="dxa"/>
          </w:tcPr>
          <w:p w:rsidR="00E754C1" w:rsidRDefault="00E754C1" w:rsidP="00E754C1">
            <w:r>
              <w:t xml:space="preserve">Provide expert advice to </w:t>
            </w:r>
            <w:proofErr w:type="spellStart"/>
            <w:r>
              <w:t>DfE</w:t>
            </w:r>
            <w:proofErr w:type="spellEnd"/>
            <w:r>
              <w:t xml:space="preserve"> and develop resources and toolkits to support local areas to implement the reforms</w:t>
            </w:r>
          </w:p>
        </w:tc>
        <w:tc>
          <w:tcPr>
            <w:tcW w:w="10064" w:type="dxa"/>
          </w:tcPr>
          <w:p w:rsidR="00E754C1" w:rsidRDefault="00E754C1" w:rsidP="00E754C1">
            <w:pPr>
              <w:pStyle w:val="ListParagraph"/>
              <w:numPr>
                <w:ilvl w:val="0"/>
                <w:numId w:val="39"/>
              </w:numPr>
            </w:pPr>
            <w:r>
              <w:t xml:space="preserve">CDC host an online Resources Hub which includes briefings, advice and guidance for health, education and social care practitioners. </w:t>
            </w:r>
          </w:p>
        </w:tc>
        <w:tc>
          <w:tcPr>
            <w:tcW w:w="3563" w:type="dxa"/>
          </w:tcPr>
          <w:p w:rsidR="00E754C1" w:rsidRDefault="00900B28" w:rsidP="00E754C1">
            <w:hyperlink r:id="rId41" w:history="1">
              <w:r w:rsidR="00E754C1">
                <w:rPr>
                  <w:rStyle w:val="Hyperlink"/>
                </w:rPr>
                <w:t>www.councilfordisabledchildren.org.uk</w:t>
              </w:r>
            </w:hyperlink>
          </w:p>
        </w:tc>
      </w:tr>
      <w:tr w:rsidR="00745643" w:rsidTr="00D44056">
        <w:tc>
          <w:tcPr>
            <w:tcW w:w="1526" w:type="dxa"/>
            <w:vMerge w:val="restart"/>
            <w:shd w:val="clear" w:color="auto" w:fill="548DD4" w:themeFill="text2" w:themeFillTint="99"/>
          </w:tcPr>
          <w:p w:rsidR="00745643" w:rsidRDefault="00745643" w:rsidP="00D44056">
            <w:pPr>
              <w:rPr>
                <w:b/>
                <w:color w:val="F2F2F2" w:themeColor="background1" w:themeShade="F2"/>
              </w:rPr>
            </w:pPr>
            <w:r>
              <w:rPr>
                <w:b/>
                <w:color w:val="F2F2F2" w:themeColor="background1" w:themeShade="F2"/>
              </w:rPr>
              <w:t>Improving access and inclusion in the early years</w:t>
            </w:r>
          </w:p>
        </w:tc>
        <w:tc>
          <w:tcPr>
            <w:tcW w:w="1559" w:type="dxa"/>
            <w:vMerge w:val="restart"/>
          </w:tcPr>
          <w:p w:rsidR="00745643" w:rsidRDefault="00745643" w:rsidP="00D44056">
            <w:r>
              <w:t xml:space="preserve">Council for Disabled Children </w:t>
            </w:r>
          </w:p>
        </w:tc>
        <w:tc>
          <w:tcPr>
            <w:tcW w:w="4111" w:type="dxa"/>
          </w:tcPr>
          <w:p w:rsidR="00745643" w:rsidRDefault="00745643" w:rsidP="00D44056">
            <w:pPr>
              <w:rPr>
                <w:rFonts w:ascii="Calibri" w:hAnsi="Calibri"/>
              </w:rPr>
            </w:pPr>
            <w:r>
              <w:rPr>
                <w:rFonts w:ascii="Calibri" w:hAnsi="Calibri"/>
              </w:rPr>
              <w:t xml:space="preserve">Two action learning sets in each region </w:t>
            </w:r>
          </w:p>
          <w:p w:rsidR="00745643" w:rsidRDefault="00745643" w:rsidP="00D44056">
            <w:pPr>
              <w:rPr>
                <w:rFonts w:ascii="Calibri" w:hAnsi="Calibri"/>
              </w:rPr>
            </w:pPr>
          </w:p>
        </w:tc>
        <w:tc>
          <w:tcPr>
            <w:tcW w:w="10064" w:type="dxa"/>
          </w:tcPr>
          <w:p w:rsidR="00745643" w:rsidRPr="00D44056" w:rsidRDefault="00745643" w:rsidP="00D44056">
            <w:pPr>
              <w:pStyle w:val="ListParagraph"/>
              <w:numPr>
                <w:ilvl w:val="0"/>
                <w:numId w:val="28"/>
              </w:numPr>
              <w:spacing w:after="160" w:line="252" w:lineRule="auto"/>
              <w:rPr>
                <w:color w:val="000000"/>
              </w:rPr>
            </w:pPr>
            <w:r>
              <w:rPr>
                <w:color w:val="000000"/>
                <w:lang w:eastAsia="ja-JP"/>
              </w:rPr>
              <w:t>The</w:t>
            </w:r>
            <w:r w:rsidRPr="00D44056">
              <w:rPr>
                <w:color w:val="000000"/>
                <w:lang w:eastAsia="ja-JP"/>
              </w:rPr>
              <w:t xml:space="preserve"> first round of action learning sets</w:t>
            </w:r>
            <w:r w:rsidRPr="00D44056">
              <w:rPr>
                <w:color w:val="000000"/>
              </w:rPr>
              <w:t xml:space="preserve">, taking place from April 2017 onwards, will focus local areas on </w:t>
            </w:r>
            <w:r w:rsidRPr="00D44056">
              <w:rPr>
                <w:rFonts w:cs="Arial"/>
                <w:color w:val="222222"/>
                <w:shd w:val="clear" w:color="auto" w:fill="FFFFFF"/>
              </w:rPr>
              <w:t xml:space="preserve">applying existing </w:t>
            </w:r>
            <w:r w:rsidRPr="00D44056">
              <w:rPr>
                <w:rFonts w:cs="Arial"/>
                <w:bCs/>
                <w:color w:val="222222"/>
                <w:shd w:val="clear" w:color="auto" w:fill="FFFFFF"/>
              </w:rPr>
              <w:t xml:space="preserve">learning and </w:t>
            </w:r>
            <w:r w:rsidRPr="00D44056">
              <w:rPr>
                <w:color w:val="000000"/>
              </w:rPr>
              <w:t xml:space="preserve">developing a strategic approach to supporting early years settings. </w:t>
            </w:r>
            <w:r>
              <w:rPr>
                <w:color w:val="000000"/>
              </w:rPr>
              <w:t>CDC</w:t>
            </w:r>
            <w:r w:rsidRPr="00D44056">
              <w:rPr>
                <w:color w:val="000000"/>
              </w:rPr>
              <w:t xml:space="preserve"> will help attendees consider how recent funding and policy changes in the early years can mesh with work they are already undertaking in relation to SEN and disability, and using </w:t>
            </w:r>
            <w:r>
              <w:rPr>
                <w:color w:val="000000"/>
              </w:rPr>
              <w:t>their</w:t>
            </w:r>
            <w:r w:rsidRPr="00D44056">
              <w:rPr>
                <w:color w:val="000000"/>
              </w:rPr>
              <w:t xml:space="preserve"> supported self-evaluation tool </w:t>
            </w:r>
            <w:r>
              <w:rPr>
                <w:color w:val="000000"/>
              </w:rPr>
              <w:t>they</w:t>
            </w:r>
            <w:r w:rsidRPr="00D44056">
              <w:rPr>
                <w:color w:val="000000"/>
              </w:rPr>
              <w:t xml:space="preserve"> will support areas to develop a local strategy. Key to </w:t>
            </w:r>
            <w:r>
              <w:rPr>
                <w:color w:val="000000"/>
              </w:rPr>
              <w:t>their</w:t>
            </w:r>
            <w:r w:rsidRPr="00D44056">
              <w:rPr>
                <w:color w:val="000000"/>
              </w:rPr>
              <w:t xml:space="preserve"> success will be the extent to which </w:t>
            </w:r>
            <w:r>
              <w:rPr>
                <w:color w:val="000000"/>
              </w:rPr>
              <w:t>they</w:t>
            </w:r>
            <w:r w:rsidRPr="00D44056">
              <w:rPr>
                <w:color w:val="000000"/>
              </w:rPr>
              <w:t xml:space="preserve"> can bring together different teams, from education, health and social care, and from each local area. </w:t>
            </w:r>
            <w:r>
              <w:rPr>
                <w:color w:val="000000"/>
              </w:rPr>
              <w:t xml:space="preserve">Their </w:t>
            </w:r>
            <w:r w:rsidRPr="00D44056">
              <w:rPr>
                <w:color w:val="000000"/>
              </w:rPr>
              <w:t>goal is a high level of joint attendance at regional workshops and joint action plans to start the strategic process.</w:t>
            </w:r>
          </w:p>
          <w:p w:rsidR="00745643" w:rsidRPr="00D44056" w:rsidRDefault="00745643" w:rsidP="00D44056">
            <w:pPr>
              <w:pStyle w:val="ListParagraph"/>
              <w:numPr>
                <w:ilvl w:val="0"/>
                <w:numId w:val="28"/>
              </w:numPr>
              <w:rPr>
                <w:color w:val="000000"/>
                <w:lang w:eastAsia="ja-JP"/>
              </w:rPr>
            </w:pPr>
            <w:r w:rsidRPr="00D44056">
              <w:rPr>
                <w:color w:val="000000"/>
              </w:rPr>
              <w:t xml:space="preserve">Later in the year, a </w:t>
            </w:r>
            <w:r w:rsidRPr="00D44056">
              <w:rPr>
                <w:color w:val="000000"/>
                <w:lang w:eastAsia="ja-JP"/>
              </w:rPr>
              <w:t>second round of learning sets will support dissemination of successful approaches and enable all local areas to benefit from the more bespoke work taking place in individual areas.</w:t>
            </w:r>
          </w:p>
          <w:p w:rsidR="00745643" w:rsidRDefault="00745643" w:rsidP="00D44056">
            <w:pPr>
              <w:rPr>
                <w:rFonts w:ascii="Calibri" w:hAnsi="Calibri"/>
              </w:rPr>
            </w:pPr>
          </w:p>
        </w:tc>
        <w:tc>
          <w:tcPr>
            <w:tcW w:w="3563" w:type="dxa"/>
            <w:vMerge w:val="restart"/>
          </w:tcPr>
          <w:p w:rsidR="00745643" w:rsidRDefault="00745643" w:rsidP="00D44056">
            <w:r w:rsidRPr="00745643">
              <w:t>For more information please contact Afo</w:t>
            </w:r>
            <w:r>
              <w:t xml:space="preserve">pe Adeniyi </w:t>
            </w:r>
          </w:p>
          <w:p w:rsidR="00745643" w:rsidRDefault="00900B28" w:rsidP="00D44056">
            <w:hyperlink r:id="rId42" w:history="1">
              <w:r w:rsidR="00745643" w:rsidRPr="005C41D3">
                <w:rPr>
                  <w:rStyle w:val="Hyperlink"/>
                </w:rPr>
                <w:t>AAdeniyi@ncb.org.uk</w:t>
              </w:r>
            </w:hyperlink>
          </w:p>
          <w:p w:rsidR="00745643" w:rsidRDefault="00745643" w:rsidP="00304A3B"/>
        </w:tc>
      </w:tr>
      <w:tr w:rsidR="00745643" w:rsidTr="00D44056">
        <w:tc>
          <w:tcPr>
            <w:tcW w:w="1526" w:type="dxa"/>
            <w:vMerge/>
            <w:shd w:val="clear" w:color="auto" w:fill="548DD4" w:themeFill="text2" w:themeFillTint="99"/>
          </w:tcPr>
          <w:p w:rsidR="00745643" w:rsidRDefault="00745643" w:rsidP="00304A3B">
            <w:pPr>
              <w:rPr>
                <w:b/>
                <w:color w:val="F2F2F2" w:themeColor="background1" w:themeShade="F2"/>
              </w:rPr>
            </w:pPr>
          </w:p>
        </w:tc>
        <w:tc>
          <w:tcPr>
            <w:tcW w:w="1559" w:type="dxa"/>
            <w:vMerge/>
          </w:tcPr>
          <w:p w:rsidR="00745643" w:rsidRDefault="00745643" w:rsidP="00304A3B"/>
        </w:tc>
        <w:tc>
          <w:tcPr>
            <w:tcW w:w="4111" w:type="dxa"/>
          </w:tcPr>
          <w:p w:rsidR="00745643" w:rsidRDefault="00745643" w:rsidP="00304A3B">
            <w:pPr>
              <w:rPr>
                <w:rFonts w:ascii="Calibri" w:hAnsi="Calibri"/>
              </w:rPr>
            </w:pPr>
            <w:r>
              <w:rPr>
                <w:rFonts w:ascii="Calibri" w:hAnsi="Calibri"/>
              </w:rPr>
              <w:t xml:space="preserve">Bespoke support to </w:t>
            </w:r>
            <w:r>
              <w:t>improve access and inclusion in the early year (1 session per region)</w:t>
            </w:r>
          </w:p>
          <w:p w:rsidR="00745643" w:rsidRDefault="00745643" w:rsidP="00304A3B">
            <w:pPr>
              <w:rPr>
                <w:rFonts w:ascii="Calibri" w:hAnsi="Calibri"/>
              </w:rPr>
            </w:pPr>
          </w:p>
        </w:tc>
        <w:tc>
          <w:tcPr>
            <w:tcW w:w="10064" w:type="dxa"/>
          </w:tcPr>
          <w:p w:rsidR="00745643" w:rsidRPr="00304A3B" w:rsidRDefault="00745643" w:rsidP="00304A3B">
            <w:pPr>
              <w:pStyle w:val="ListParagraph"/>
              <w:numPr>
                <w:ilvl w:val="0"/>
                <w:numId w:val="28"/>
              </w:numPr>
              <w:rPr>
                <w:color w:val="000000"/>
              </w:rPr>
            </w:pPr>
            <w:r w:rsidRPr="00304A3B">
              <w:rPr>
                <w:color w:val="000000"/>
              </w:rPr>
              <w:t xml:space="preserve">CDC will be providing bespoke support for individual areas to tackle specific local challenges in their early years sector. This flexible offer will focus on supporting local areas where </w:t>
            </w:r>
            <w:r>
              <w:rPr>
                <w:color w:val="000000"/>
              </w:rPr>
              <w:t>CDC</w:t>
            </w:r>
            <w:r w:rsidRPr="00304A3B">
              <w:rPr>
                <w:color w:val="000000"/>
              </w:rPr>
              <w:t xml:space="preserve"> can have the most impact and where there is learning that can be useful to other areas. </w:t>
            </w:r>
          </w:p>
          <w:p w:rsidR="00745643" w:rsidRDefault="00745643" w:rsidP="00304A3B">
            <w:pPr>
              <w:rPr>
                <w:rFonts w:ascii="Calibri" w:hAnsi="Calibri"/>
              </w:rPr>
            </w:pPr>
          </w:p>
        </w:tc>
        <w:tc>
          <w:tcPr>
            <w:tcW w:w="3563" w:type="dxa"/>
            <w:vMerge/>
          </w:tcPr>
          <w:p w:rsidR="00745643" w:rsidRDefault="00745643" w:rsidP="00304A3B"/>
        </w:tc>
      </w:tr>
      <w:tr w:rsidR="00745643" w:rsidTr="00777093">
        <w:tc>
          <w:tcPr>
            <w:tcW w:w="1526" w:type="dxa"/>
            <w:vMerge/>
            <w:shd w:val="clear" w:color="auto" w:fill="548DD4" w:themeFill="text2" w:themeFillTint="99"/>
          </w:tcPr>
          <w:p w:rsidR="00745643" w:rsidRDefault="00745643" w:rsidP="00304A3B">
            <w:pPr>
              <w:rPr>
                <w:b/>
                <w:color w:val="F2F2F2" w:themeColor="background1" w:themeShade="F2"/>
              </w:rPr>
            </w:pPr>
          </w:p>
        </w:tc>
        <w:tc>
          <w:tcPr>
            <w:tcW w:w="1559" w:type="dxa"/>
            <w:vMerge/>
          </w:tcPr>
          <w:p w:rsidR="00745643" w:rsidRDefault="00745643" w:rsidP="00304A3B"/>
        </w:tc>
        <w:tc>
          <w:tcPr>
            <w:tcW w:w="4111" w:type="dxa"/>
          </w:tcPr>
          <w:p w:rsidR="00745643" w:rsidRDefault="00745643" w:rsidP="00304A3B">
            <w:pPr>
              <w:rPr>
                <w:rFonts w:ascii="Calibri" w:hAnsi="Calibri"/>
              </w:rPr>
            </w:pPr>
            <w:r>
              <w:rPr>
                <w:rFonts w:ascii="Calibri" w:hAnsi="Calibri"/>
              </w:rPr>
              <w:t>Support to Information Advice and Support Services (1 training day in each region)</w:t>
            </w:r>
          </w:p>
          <w:p w:rsidR="00745643" w:rsidRDefault="00745643" w:rsidP="00304A3B">
            <w:pPr>
              <w:rPr>
                <w:rFonts w:ascii="Calibri" w:hAnsi="Calibri"/>
              </w:rPr>
            </w:pPr>
          </w:p>
        </w:tc>
        <w:tc>
          <w:tcPr>
            <w:tcW w:w="10064" w:type="dxa"/>
          </w:tcPr>
          <w:p w:rsidR="00745643" w:rsidRPr="00304A3B" w:rsidRDefault="00745643" w:rsidP="00304A3B">
            <w:pPr>
              <w:pStyle w:val="ListParagraph"/>
              <w:numPr>
                <w:ilvl w:val="0"/>
                <w:numId w:val="28"/>
              </w:numPr>
              <w:rPr>
                <w:color w:val="000000"/>
              </w:rPr>
            </w:pPr>
            <w:r w:rsidRPr="00304A3B">
              <w:rPr>
                <w:color w:val="000000"/>
              </w:rPr>
              <w:t>IASS have a statutory role supporting children, young people and their parents with advice,</w:t>
            </w:r>
            <w:r w:rsidRPr="00304A3B">
              <w:rPr>
                <w:b/>
                <w:color w:val="000000"/>
              </w:rPr>
              <w:t xml:space="preserve"> </w:t>
            </w:r>
            <w:r w:rsidRPr="00304A3B">
              <w:rPr>
                <w:color w:val="000000"/>
              </w:rPr>
              <w:t xml:space="preserve">information, and support relating to special educational needs and disabilities. CDC will be delivering tailored support to these services to improve their offer to parents and children in the early years. </w:t>
            </w:r>
          </w:p>
          <w:p w:rsidR="00745643" w:rsidRDefault="00745643" w:rsidP="00304A3B">
            <w:pPr>
              <w:rPr>
                <w:rFonts w:ascii="Calibri" w:hAnsi="Calibri"/>
              </w:rPr>
            </w:pPr>
          </w:p>
        </w:tc>
        <w:tc>
          <w:tcPr>
            <w:tcW w:w="3563" w:type="dxa"/>
            <w:vMerge/>
          </w:tcPr>
          <w:p w:rsidR="00745643" w:rsidRDefault="00745643" w:rsidP="00304A3B"/>
        </w:tc>
      </w:tr>
      <w:tr w:rsidR="00777093" w:rsidTr="00777093">
        <w:tc>
          <w:tcPr>
            <w:tcW w:w="1526" w:type="dxa"/>
            <w:vMerge w:val="restart"/>
            <w:shd w:val="clear" w:color="auto" w:fill="548DD4" w:themeFill="text2" w:themeFillTint="99"/>
          </w:tcPr>
          <w:p w:rsidR="00777093" w:rsidRPr="00122D0D" w:rsidRDefault="00777093" w:rsidP="00777093">
            <w:pPr>
              <w:rPr>
                <w:b/>
                <w:color w:val="F2F2F2" w:themeColor="background1" w:themeShade="F2"/>
              </w:rPr>
            </w:pPr>
            <w:r>
              <w:rPr>
                <w:b/>
                <w:color w:val="F2F2F2" w:themeColor="background1" w:themeShade="F2"/>
              </w:rPr>
              <w:t>Young Persons Participation</w:t>
            </w:r>
          </w:p>
        </w:tc>
        <w:tc>
          <w:tcPr>
            <w:tcW w:w="1559" w:type="dxa"/>
            <w:vMerge w:val="restart"/>
          </w:tcPr>
          <w:p w:rsidR="00777093" w:rsidRDefault="00777093" w:rsidP="00777093">
            <w:r>
              <w:t>Council for Disabled Children</w:t>
            </w:r>
          </w:p>
        </w:tc>
        <w:tc>
          <w:tcPr>
            <w:tcW w:w="4111" w:type="dxa"/>
          </w:tcPr>
          <w:p w:rsidR="00777093" w:rsidRPr="0090539F" w:rsidRDefault="00777093" w:rsidP="00777093">
            <w:pPr>
              <w:rPr>
                <w:rFonts w:ascii="Calibri" w:hAnsi="Calibri"/>
              </w:rPr>
            </w:pPr>
            <w:r w:rsidRPr="0090539F">
              <w:rPr>
                <w:rFonts w:ascii="Calibri" w:hAnsi="Calibri"/>
              </w:rPr>
              <w:t xml:space="preserve">A total of 9 regional </w:t>
            </w:r>
            <w:r>
              <w:rPr>
                <w:rFonts w:ascii="Calibri" w:hAnsi="Calibri"/>
              </w:rPr>
              <w:t>learning events</w:t>
            </w:r>
            <w:r w:rsidRPr="0090539F">
              <w:rPr>
                <w:rFonts w:ascii="Calibri" w:hAnsi="Calibri"/>
              </w:rPr>
              <w:t xml:space="preserve"> (1 per Local area) for health and local authority </w:t>
            </w:r>
            <w:r>
              <w:rPr>
                <w:rFonts w:ascii="Calibri" w:hAnsi="Calibri"/>
              </w:rPr>
              <w:t>practitioners</w:t>
            </w:r>
          </w:p>
        </w:tc>
        <w:tc>
          <w:tcPr>
            <w:tcW w:w="10064" w:type="dxa"/>
          </w:tcPr>
          <w:p w:rsidR="00777093" w:rsidRPr="00363B8B" w:rsidRDefault="00777093" w:rsidP="00777093">
            <w:pPr>
              <w:pStyle w:val="ListParagraph"/>
              <w:numPr>
                <w:ilvl w:val="0"/>
                <w:numId w:val="32"/>
              </w:numPr>
              <w:ind w:left="360"/>
              <w:rPr>
                <w:rFonts w:ascii="Calibri" w:hAnsi="Calibri"/>
              </w:rPr>
            </w:pPr>
            <w:r w:rsidRPr="00363B8B">
              <w:rPr>
                <w:rFonts w:ascii="Calibri" w:hAnsi="Calibri"/>
              </w:rPr>
              <w:t xml:space="preserve">These workshops will focus on developing local strategic participation and regional support structures that help embed children and young people’s participation. The workshops will also look at how to use the participation module of the LA and CCG audit tools to audit, self-evaluate and develop actions plans. </w:t>
            </w:r>
          </w:p>
          <w:p w:rsidR="00777093" w:rsidRPr="00363B8B" w:rsidRDefault="00777093" w:rsidP="00777093">
            <w:pPr>
              <w:pStyle w:val="ListParagraph"/>
              <w:numPr>
                <w:ilvl w:val="0"/>
                <w:numId w:val="32"/>
              </w:numPr>
              <w:ind w:left="360"/>
              <w:rPr>
                <w:rFonts w:ascii="Calibri" w:hAnsi="Calibri"/>
              </w:rPr>
            </w:pPr>
            <w:r w:rsidRPr="00363B8B">
              <w:rPr>
                <w:rFonts w:ascii="Calibri" w:hAnsi="Calibri"/>
              </w:rPr>
              <w:t xml:space="preserve">Regions will be able to choose from a menu of flexible modules to create a bespoke event; and there will be a focus on peer moderated solution building and action planning. </w:t>
            </w:r>
          </w:p>
          <w:p w:rsidR="00777093" w:rsidRPr="00363B8B" w:rsidRDefault="00777093" w:rsidP="00777093">
            <w:pPr>
              <w:pStyle w:val="ListParagraph"/>
              <w:numPr>
                <w:ilvl w:val="0"/>
                <w:numId w:val="32"/>
              </w:numPr>
              <w:ind w:left="360"/>
              <w:rPr>
                <w:rFonts w:ascii="Calibri" w:hAnsi="Calibri" w:cs="Arial"/>
              </w:rPr>
            </w:pPr>
            <w:r w:rsidRPr="00363B8B">
              <w:rPr>
                <w:rFonts w:ascii="Calibri" w:hAnsi="Calibri"/>
              </w:rPr>
              <w:t xml:space="preserve">For those regions who want to look at a specific implementation issue in more detail, they will be able to draw down the training or consultancy offer below. </w:t>
            </w:r>
          </w:p>
          <w:p w:rsidR="00777093" w:rsidRDefault="00777093" w:rsidP="00777093">
            <w:pPr>
              <w:rPr>
                <w:rFonts w:ascii="Calibri" w:hAnsi="Calibri"/>
              </w:rPr>
            </w:pPr>
          </w:p>
        </w:tc>
        <w:tc>
          <w:tcPr>
            <w:tcW w:w="3563" w:type="dxa"/>
          </w:tcPr>
          <w:p w:rsidR="00777093" w:rsidRPr="00F4269D" w:rsidRDefault="00777093" w:rsidP="00777093">
            <w:pPr>
              <w:rPr>
                <w:highlight w:val="yellow"/>
              </w:rPr>
            </w:pPr>
            <w:r w:rsidRPr="00746872">
              <w:t xml:space="preserve">Regional events will be promoted through SEND regional leads </w:t>
            </w:r>
          </w:p>
        </w:tc>
      </w:tr>
      <w:tr w:rsidR="00777093" w:rsidTr="00777093">
        <w:tc>
          <w:tcPr>
            <w:tcW w:w="1526" w:type="dxa"/>
            <w:vMerge/>
            <w:shd w:val="clear" w:color="auto" w:fill="548DD4" w:themeFill="text2" w:themeFillTint="99"/>
          </w:tcPr>
          <w:p w:rsidR="00777093" w:rsidRDefault="00777093" w:rsidP="00777093">
            <w:pPr>
              <w:rPr>
                <w:b/>
                <w:color w:val="F2F2F2" w:themeColor="background1" w:themeShade="F2"/>
              </w:rPr>
            </w:pPr>
          </w:p>
        </w:tc>
        <w:tc>
          <w:tcPr>
            <w:tcW w:w="1559" w:type="dxa"/>
            <w:vMerge/>
          </w:tcPr>
          <w:p w:rsidR="00777093" w:rsidRDefault="00777093" w:rsidP="00777093"/>
        </w:tc>
        <w:tc>
          <w:tcPr>
            <w:tcW w:w="4111" w:type="dxa"/>
          </w:tcPr>
          <w:p w:rsidR="00777093" w:rsidRPr="00363B8B" w:rsidRDefault="00777093" w:rsidP="00777093">
            <w:pPr>
              <w:rPr>
                <w:rFonts w:ascii="Calibri" w:hAnsi="Calibri"/>
              </w:rPr>
            </w:pPr>
            <w:r w:rsidRPr="00363B8B">
              <w:rPr>
                <w:rFonts w:ascii="Calibri" w:hAnsi="Calibri"/>
              </w:rPr>
              <w:t>A total of 15 training and coaching opportunities as either LA/CCG workshops or support sessions</w:t>
            </w:r>
          </w:p>
          <w:p w:rsidR="00777093" w:rsidRPr="00363B8B" w:rsidRDefault="00777093" w:rsidP="00777093">
            <w:pPr>
              <w:rPr>
                <w:rFonts w:ascii="Calibri" w:hAnsi="Calibri"/>
              </w:rPr>
            </w:pPr>
            <w:r w:rsidRPr="00363B8B">
              <w:rPr>
                <w:rFonts w:ascii="Calibri" w:hAnsi="Calibri"/>
              </w:rPr>
              <w:t xml:space="preserve"> </w:t>
            </w:r>
          </w:p>
        </w:tc>
        <w:tc>
          <w:tcPr>
            <w:tcW w:w="10064" w:type="dxa"/>
          </w:tcPr>
          <w:p w:rsidR="00777093" w:rsidRPr="00363B8B" w:rsidRDefault="00777093" w:rsidP="00777093">
            <w:pPr>
              <w:pStyle w:val="ListParagraph"/>
              <w:numPr>
                <w:ilvl w:val="0"/>
                <w:numId w:val="33"/>
              </w:numPr>
              <w:ind w:left="360"/>
              <w:rPr>
                <w:rFonts w:ascii="Calibri" w:hAnsi="Calibri"/>
              </w:rPr>
            </w:pPr>
            <w:r w:rsidRPr="00363B8B">
              <w:rPr>
                <w:rFonts w:ascii="Calibri" w:hAnsi="Calibri"/>
              </w:rPr>
              <w:t xml:space="preserve">Provision of 15 bespoke training workshops to LA/CCG professionals to support local areas to develop their CYP participation. </w:t>
            </w:r>
          </w:p>
          <w:p w:rsidR="00777093" w:rsidRPr="00363B8B" w:rsidRDefault="00777093" w:rsidP="00777093">
            <w:pPr>
              <w:pStyle w:val="ListParagraph"/>
              <w:numPr>
                <w:ilvl w:val="0"/>
                <w:numId w:val="33"/>
              </w:numPr>
              <w:ind w:left="360"/>
              <w:rPr>
                <w:rFonts w:ascii="Calibri" w:hAnsi="Calibri"/>
              </w:rPr>
            </w:pPr>
            <w:r w:rsidRPr="00363B8B">
              <w:rPr>
                <w:rFonts w:ascii="Calibri" w:hAnsi="Calibri"/>
              </w:rPr>
              <w:t>Initial scoping of individual need with LA leads and national team, agenda and modules agreed between local area and the young people participation teams. All workshops will be co-produced with young people.</w:t>
            </w:r>
          </w:p>
          <w:p w:rsidR="00777093" w:rsidRPr="00363B8B" w:rsidRDefault="00777093" w:rsidP="00777093">
            <w:pPr>
              <w:pStyle w:val="ListParagraph"/>
              <w:numPr>
                <w:ilvl w:val="0"/>
                <w:numId w:val="33"/>
              </w:numPr>
              <w:ind w:left="360"/>
              <w:rPr>
                <w:rFonts w:ascii="Calibri" w:hAnsi="Calibri"/>
              </w:rPr>
            </w:pPr>
            <w:r w:rsidRPr="00363B8B">
              <w:rPr>
                <w:rFonts w:ascii="Calibri" w:hAnsi="Calibri"/>
              </w:rPr>
              <w:t>Focus is support for LAs/CCGs to develop strategic work, ideas and strategies for ongoing CYP participation and to evidence the strategic engagement of CYP in decision making ready for area inspections.</w:t>
            </w:r>
          </w:p>
          <w:p w:rsidR="00777093" w:rsidRPr="00363B8B" w:rsidRDefault="00777093" w:rsidP="00777093">
            <w:pPr>
              <w:pStyle w:val="ListParagraph"/>
              <w:numPr>
                <w:ilvl w:val="0"/>
                <w:numId w:val="33"/>
              </w:numPr>
              <w:ind w:left="360"/>
              <w:rPr>
                <w:rFonts w:ascii="Calibri" w:hAnsi="Calibri"/>
              </w:rPr>
            </w:pPr>
            <w:r w:rsidRPr="00363B8B">
              <w:rPr>
                <w:rFonts w:ascii="Calibri" w:hAnsi="Calibri"/>
              </w:rPr>
              <w:t>The offer can alternatively be delivered in the form of coaching days for those who undertook training workshops in Yr1</w:t>
            </w:r>
            <w:r w:rsidRPr="00363B8B">
              <w:rPr>
                <w:rFonts w:ascii="Calibri" w:hAnsi="Calibri"/>
                <w:b/>
              </w:rPr>
              <w:t>.</w:t>
            </w:r>
          </w:p>
          <w:p w:rsidR="00777093" w:rsidRPr="00363B8B" w:rsidRDefault="00777093" w:rsidP="00777093">
            <w:pPr>
              <w:pStyle w:val="ListParagraph"/>
              <w:ind w:left="360"/>
              <w:rPr>
                <w:rFonts w:ascii="Calibri" w:hAnsi="Calibri"/>
              </w:rPr>
            </w:pPr>
          </w:p>
        </w:tc>
        <w:tc>
          <w:tcPr>
            <w:tcW w:w="3563" w:type="dxa"/>
          </w:tcPr>
          <w:p w:rsidR="00777093" w:rsidRDefault="00777093" w:rsidP="00777093">
            <w:r w:rsidRPr="00746872">
              <w:t xml:space="preserve">Contact Pam Shaw (CDC) </w:t>
            </w:r>
          </w:p>
          <w:p w:rsidR="00777093" w:rsidRDefault="00900B28" w:rsidP="00777093">
            <w:hyperlink r:id="rId43" w:history="1">
              <w:r w:rsidR="00777093" w:rsidRPr="00594E2E">
                <w:rPr>
                  <w:rStyle w:val="Hyperlink"/>
                </w:rPr>
                <w:t>pshaw@ncb.org.uk</w:t>
              </w:r>
            </w:hyperlink>
          </w:p>
          <w:p w:rsidR="00777093" w:rsidRDefault="00777093" w:rsidP="00777093">
            <w:r w:rsidRPr="00746872">
              <w:t xml:space="preserve">or </w:t>
            </w:r>
          </w:p>
          <w:p w:rsidR="00777093" w:rsidRDefault="00777093" w:rsidP="00777093">
            <w:r w:rsidRPr="00746872">
              <w:t xml:space="preserve">Lynn Horsfield (KIDS) </w:t>
            </w:r>
          </w:p>
          <w:p w:rsidR="00777093" w:rsidRDefault="00900B28" w:rsidP="00777093">
            <w:hyperlink r:id="rId44" w:history="1">
              <w:r w:rsidR="00777093" w:rsidRPr="00594E2E">
                <w:rPr>
                  <w:rStyle w:val="Hyperlink"/>
                </w:rPr>
                <w:t>Lynn.Horsfield@kids.org.uk</w:t>
              </w:r>
            </w:hyperlink>
          </w:p>
          <w:p w:rsidR="00777093" w:rsidRPr="00F4269D" w:rsidRDefault="00777093" w:rsidP="00777093">
            <w:pPr>
              <w:rPr>
                <w:highlight w:val="yellow"/>
              </w:rPr>
            </w:pPr>
          </w:p>
        </w:tc>
      </w:tr>
      <w:tr w:rsidR="00777093" w:rsidTr="00E754C1">
        <w:tc>
          <w:tcPr>
            <w:tcW w:w="1526" w:type="dxa"/>
            <w:shd w:val="clear" w:color="auto" w:fill="548DD4" w:themeFill="text2" w:themeFillTint="99"/>
          </w:tcPr>
          <w:p w:rsidR="00777093" w:rsidRPr="00746872" w:rsidRDefault="00777093" w:rsidP="00777093">
            <w:pPr>
              <w:rPr>
                <w:b/>
              </w:rPr>
            </w:pPr>
            <w:r w:rsidRPr="00746872">
              <w:rPr>
                <w:b/>
                <w:color w:val="FFFFFF" w:themeColor="background1"/>
              </w:rPr>
              <w:t xml:space="preserve">Independent Support </w:t>
            </w:r>
          </w:p>
        </w:tc>
        <w:tc>
          <w:tcPr>
            <w:tcW w:w="1559" w:type="dxa"/>
          </w:tcPr>
          <w:p w:rsidR="00777093" w:rsidRPr="0005564D" w:rsidRDefault="00777093" w:rsidP="00777093">
            <w:r>
              <w:t>Council for disabled Children</w:t>
            </w:r>
          </w:p>
        </w:tc>
        <w:tc>
          <w:tcPr>
            <w:tcW w:w="4111" w:type="dxa"/>
          </w:tcPr>
          <w:p w:rsidR="00777093" w:rsidRPr="0005564D" w:rsidRDefault="00777093" w:rsidP="00777093">
            <w:r w:rsidRPr="0005564D">
              <w:t xml:space="preserve">Support and training for Independent Supporters </w:t>
            </w:r>
          </w:p>
        </w:tc>
        <w:tc>
          <w:tcPr>
            <w:tcW w:w="10064" w:type="dxa"/>
          </w:tcPr>
          <w:p w:rsidR="00777093" w:rsidRDefault="00777093" w:rsidP="00777093">
            <w:pPr>
              <w:pStyle w:val="ListParagraph"/>
              <w:numPr>
                <w:ilvl w:val="0"/>
                <w:numId w:val="28"/>
              </w:numPr>
            </w:pPr>
            <w:r w:rsidRPr="0005564D">
              <w:t>This support offer is directed at funded agencies and services who have r</w:t>
            </w:r>
            <w:r>
              <w:t>ecruited Independent Supporters.</w:t>
            </w:r>
          </w:p>
          <w:p w:rsidR="00777093" w:rsidRPr="0005564D" w:rsidRDefault="00777093" w:rsidP="00777093">
            <w:pPr>
              <w:pStyle w:val="ListParagraph"/>
              <w:numPr>
                <w:ilvl w:val="0"/>
                <w:numId w:val="28"/>
              </w:numPr>
            </w:pPr>
            <w:r>
              <w:t>Training is open to LA staff</w:t>
            </w:r>
          </w:p>
        </w:tc>
        <w:tc>
          <w:tcPr>
            <w:tcW w:w="3563" w:type="dxa"/>
          </w:tcPr>
          <w:p w:rsidR="00777093" w:rsidRDefault="00777093" w:rsidP="00777093">
            <w:r>
              <w:t>For more information contact:</w:t>
            </w:r>
          </w:p>
          <w:p w:rsidR="00777093" w:rsidRDefault="00777093" w:rsidP="00777093">
            <w:r w:rsidRPr="0005564D">
              <w:t xml:space="preserve">Martin Bull </w:t>
            </w:r>
          </w:p>
          <w:p w:rsidR="00777093" w:rsidRDefault="00900B28" w:rsidP="00777093">
            <w:pPr>
              <w:pStyle w:val="Default"/>
              <w:rPr>
                <w:sz w:val="22"/>
                <w:szCs w:val="22"/>
              </w:rPr>
            </w:pPr>
            <w:hyperlink r:id="rId45" w:history="1">
              <w:r w:rsidR="00777093">
                <w:rPr>
                  <w:rStyle w:val="Hyperlink"/>
                  <w:sz w:val="22"/>
                  <w:szCs w:val="22"/>
                </w:rPr>
                <w:t>mbull@ncb.org.uk</w:t>
              </w:r>
            </w:hyperlink>
            <w:r w:rsidR="00777093">
              <w:rPr>
                <w:sz w:val="22"/>
                <w:szCs w:val="22"/>
              </w:rPr>
              <w:t xml:space="preserve"> </w:t>
            </w:r>
          </w:p>
          <w:p w:rsidR="00777093" w:rsidRPr="0005564D" w:rsidRDefault="00777093" w:rsidP="00777093"/>
        </w:tc>
      </w:tr>
      <w:tr w:rsidR="00592F11" w:rsidTr="00194107">
        <w:tc>
          <w:tcPr>
            <w:tcW w:w="1526" w:type="dxa"/>
            <w:vMerge w:val="restart"/>
            <w:shd w:val="clear" w:color="auto" w:fill="548DD4" w:themeFill="text2" w:themeFillTint="99"/>
          </w:tcPr>
          <w:p w:rsidR="00592F11" w:rsidRPr="00746872" w:rsidRDefault="00592F11" w:rsidP="00592F11">
            <w:pPr>
              <w:rPr>
                <w:b/>
                <w:color w:val="FFFFFF" w:themeColor="background1"/>
              </w:rPr>
            </w:pPr>
            <w:r>
              <w:rPr>
                <w:b/>
                <w:color w:val="FFFFFF" w:themeColor="background1"/>
              </w:rPr>
              <w:t xml:space="preserve">Social Care </w:t>
            </w:r>
          </w:p>
        </w:tc>
        <w:tc>
          <w:tcPr>
            <w:tcW w:w="1559" w:type="dxa"/>
            <w:vMerge w:val="restart"/>
          </w:tcPr>
          <w:p w:rsidR="00592F11" w:rsidRDefault="00592F11" w:rsidP="00592F11">
            <w:r>
              <w:t xml:space="preserve">Council for disabled Children via </w:t>
            </w:r>
            <w:r>
              <w:lastRenderedPageBreak/>
              <w:t>Strategic Reform Partner contract</w:t>
            </w:r>
          </w:p>
        </w:tc>
        <w:tc>
          <w:tcPr>
            <w:tcW w:w="4111" w:type="dxa"/>
            <w:tcBorders>
              <w:top w:val="single" w:sz="4" w:space="0" w:color="auto"/>
              <w:left w:val="single" w:sz="4" w:space="0" w:color="auto"/>
              <w:bottom w:val="single" w:sz="4" w:space="0" w:color="auto"/>
              <w:right w:val="single" w:sz="4" w:space="0" w:color="auto"/>
            </w:tcBorders>
          </w:tcPr>
          <w:p w:rsidR="00592F11" w:rsidRDefault="00592F11" w:rsidP="00592F11">
            <w:r>
              <w:lastRenderedPageBreak/>
              <w:t xml:space="preserve">Up to 5 flexible days per region to support development of Social Care practice and understanding of the role of Social Care in </w:t>
            </w:r>
            <w:r>
              <w:lastRenderedPageBreak/>
              <w:t>relation to the reforms.</w:t>
            </w:r>
          </w:p>
        </w:tc>
        <w:tc>
          <w:tcPr>
            <w:tcW w:w="10064" w:type="dxa"/>
            <w:tcBorders>
              <w:top w:val="single" w:sz="4" w:space="0" w:color="auto"/>
              <w:left w:val="single" w:sz="4" w:space="0" w:color="auto"/>
              <w:bottom w:val="single" w:sz="4" w:space="0" w:color="auto"/>
              <w:right w:val="single" w:sz="4" w:space="0" w:color="auto"/>
            </w:tcBorders>
          </w:tcPr>
          <w:p w:rsidR="00592F11" w:rsidRDefault="00592F11" w:rsidP="00592F11">
            <w:r>
              <w:lastRenderedPageBreak/>
              <w:t>Examples of what this support could be used for include:</w:t>
            </w:r>
          </w:p>
          <w:p w:rsidR="00592F11" w:rsidRDefault="00592F11" w:rsidP="00592F11">
            <w:pPr>
              <w:pStyle w:val="ListParagraph"/>
              <w:numPr>
                <w:ilvl w:val="0"/>
                <w:numId w:val="40"/>
              </w:numPr>
            </w:pPr>
            <w:r>
              <w:t>Embedding successful practice for developing and sharing social care advice</w:t>
            </w:r>
          </w:p>
          <w:p w:rsidR="00592F11" w:rsidRDefault="00592F11" w:rsidP="00592F11">
            <w:pPr>
              <w:pStyle w:val="ListParagraph"/>
              <w:numPr>
                <w:ilvl w:val="0"/>
                <w:numId w:val="40"/>
              </w:numPr>
            </w:pPr>
            <w:r>
              <w:t xml:space="preserve">Supporting preparation and facilitation of workshops including provision of subject expert input and </w:t>
            </w:r>
            <w:r>
              <w:lastRenderedPageBreak/>
              <w:t>dissemination of learning from other regional work</w:t>
            </w:r>
          </w:p>
          <w:p w:rsidR="00592F11" w:rsidRDefault="00592F11" w:rsidP="00592F11">
            <w:pPr>
              <w:pStyle w:val="ListParagraph"/>
              <w:numPr>
                <w:ilvl w:val="0"/>
                <w:numId w:val="40"/>
              </w:numPr>
            </w:pPr>
            <w:r>
              <w:t>Supporting the development and engagement of Social Care peer networks/regional practice development groups</w:t>
            </w:r>
          </w:p>
          <w:p w:rsidR="00592F11" w:rsidRDefault="00592F11" w:rsidP="00592F11">
            <w:pPr>
              <w:pStyle w:val="ListParagraph"/>
              <w:numPr>
                <w:ilvl w:val="0"/>
                <w:numId w:val="40"/>
              </w:numPr>
            </w:pPr>
            <w:r>
              <w:t>Identifying areas of challenge and developing local solutions</w:t>
            </w:r>
          </w:p>
          <w:p w:rsidR="00592F11" w:rsidRDefault="00592F11" w:rsidP="00592F11">
            <w:pPr>
              <w:pStyle w:val="ListParagraph"/>
              <w:numPr>
                <w:ilvl w:val="0"/>
                <w:numId w:val="40"/>
              </w:numPr>
            </w:pPr>
            <w:r>
              <w:t>Improving local understanding and practice re: Mental Capacity Act and supported decision making, use of thresholds, short breaks, use of section 20, parent carer needs assessments</w:t>
            </w:r>
          </w:p>
          <w:p w:rsidR="00592F11" w:rsidRDefault="00592F11" w:rsidP="00592F11">
            <w:pPr>
              <w:pStyle w:val="ListParagraph"/>
              <w:numPr>
                <w:ilvl w:val="0"/>
                <w:numId w:val="40"/>
              </w:numPr>
            </w:pPr>
            <w:r>
              <w:t>Supporting development of other local priorities related to Social Care</w:t>
            </w:r>
          </w:p>
          <w:p w:rsidR="00592F11" w:rsidRDefault="00592F11" w:rsidP="00592F11">
            <w:pPr>
              <w:pStyle w:val="ListParagraph"/>
            </w:pPr>
          </w:p>
        </w:tc>
        <w:tc>
          <w:tcPr>
            <w:tcW w:w="3563" w:type="dxa"/>
            <w:tcBorders>
              <w:top w:val="single" w:sz="4" w:space="0" w:color="auto"/>
              <w:left w:val="single" w:sz="4" w:space="0" w:color="auto"/>
              <w:bottom w:val="single" w:sz="4" w:space="0" w:color="auto"/>
              <w:right w:val="single" w:sz="4" w:space="0" w:color="auto"/>
            </w:tcBorders>
          </w:tcPr>
          <w:p w:rsidR="00592F11" w:rsidRDefault="00592F11" w:rsidP="00592F11">
            <w:r>
              <w:lastRenderedPageBreak/>
              <w:t xml:space="preserve">To discuss your regional priorities and access the offer or for more information, please contact </w:t>
            </w:r>
          </w:p>
          <w:p w:rsidR="00592F11" w:rsidRDefault="00592F11" w:rsidP="00592F11">
            <w:pPr>
              <w:rPr>
                <w:highlight w:val="yellow"/>
              </w:rPr>
            </w:pPr>
            <w:r>
              <w:lastRenderedPageBreak/>
              <w:t xml:space="preserve">Caroline Bennett </w:t>
            </w:r>
            <w:hyperlink r:id="rId46" w:history="1">
              <w:r>
                <w:rPr>
                  <w:rStyle w:val="Hyperlink"/>
                </w:rPr>
                <w:t>cbennett@ncb.org.uk</w:t>
              </w:r>
            </w:hyperlink>
            <w:r>
              <w:t xml:space="preserve"> and/or 020 7843 6061</w:t>
            </w:r>
          </w:p>
        </w:tc>
      </w:tr>
      <w:tr w:rsidR="00592F11" w:rsidTr="00194107">
        <w:tc>
          <w:tcPr>
            <w:tcW w:w="1526" w:type="dxa"/>
            <w:vMerge/>
            <w:shd w:val="clear" w:color="auto" w:fill="548DD4" w:themeFill="text2" w:themeFillTint="99"/>
          </w:tcPr>
          <w:p w:rsidR="00592F11" w:rsidRDefault="00592F11" w:rsidP="00592F11">
            <w:pPr>
              <w:rPr>
                <w:b/>
                <w:color w:val="FFFFFF" w:themeColor="background1"/>
              </w:rPr>
            </w:pPr>
          </w:p>
        </w:tc>
        <w:tc>
          <w:tcPr>
            <w:tcW w:w="1559" w:type="dxa"/>
            <w:vMerge/>
          </w:tcPr>
          <w:p w:rsidR="00592F11" w:rsidRDefault="00592F11" w:rsidP="00592F11"/>
        </w:tc>
        <w:tc>
          <w:tcPr>
            <w:tcW w:w="4111" w:type="dxa"/>
            <w:tcBorders>
              <w:top w:val="single" w:sz="4" w:space="0" w:color="auto"/>
              <w:left w:val="single" w:sz="4" w:space="0" w:color="auto"/>
              <w:bottom w:val="single" w:sz="4" w:space="0" w:color="auto"/>
              <w:right w:val="single" w:sz="4" w:space="0" w:color="auto"/>
            </w:tcBorders>
          </w:tcPr>
          <w:p w:rsidR="00592F11" w:rsidRDefault="00592F11" w:rsidP="00592F11">
            <w:r>
              <w:t>Support development of Social Care practice and understanding of the role of Social Care in relation to the reforms.</w:t>
            </w:r>
          </w:p>
        </w:tc>
        <w:tc>
          <w:tcPr>
            <w:tcW w:w="10064" w:type="dxa"/>
            <w:tcBorders>
              <w:top w:val="single" w:sz="4" w:space="0" w:color="auto"/>
              <w:left w:val="single" w:sz="4" w:space="0" w:color="auto"/>
              <w:bottom w:val="single" w:sz="4" w:space="0" w:color="auto"/>
              <w:right w:val="single" w:sz="4" w:space="0" w:color="auto"/>
            </w:tcBorders>
          </w:tcPr>
          <w:p w:rsidR="00592F11" w:rsidRDefault="00592F11" w:rsidP="00592F11">
            <w:pPr>
              <w:pStyle w:val="ListParagraph"/>
              <w:numPr>
                <w:ilvl w:val="0"/>
                <w:numId w:val="42"/>
              </w:numPr>
            </w:pPr>
            <w:r>
              <w:t>E-learning – Introduction to Social Care and the SEND reforms to be available from 1</w:t>
            </w:r>
            <w:r w:rsidRPr="00592F11">
              <w:rPr>
                <w:vertAlign w:val="superscript"/>
              </w:rPr>
              <w:t>st</w:t>
            </w:r>
            <w:r>
              <w:t xml:space="preserve"> September 2017.</w:t>
            </w:r>
          </w:p>
          <w:p w:rsidR="00592F11" w:rsidRDefault="00592F11" w:rsidP="00592F11">
            <w:pPr>
              <w:pStyle w:val="ListParagraph"/>
              <w:numPr>
                <w:ilvl w:val="0"/>
                <w:numId w:val="42"/>
              </w:numPr>
            </w:pPr>
            <w:r>
              <w:t>The e-learning will reflect the guidance produced by CDC on:</w:t>
            </w:r>
          </w:p>
          <w:p w:rsidR="00592F11" w:rsidRPr="00592F11" w:rsidRDefault="00592F11" w:rsidP="00592F11">
            <w:pPr>
              <w:pStyle w:val="ListParagraph"/>
              <w:numPr>
                <w:ilvl w:val="1"/>
                <w:numId w:val="43"/>
              </w:numPr>
              <w:rPr>
                <w:b/>
              </w:rPr>
            </w:pPr>
            <w:r w:rsidRPr="00592F11">
              <w:rPr>
                <w:b/>
              </w:rPr>
              <w:t xml:space="preserve">The role of social care in implementing the Children and Families Act </w:t>
            </w:r>
          </w:p>
          <w:p w:rsidR="00592F11" w:rsidRDefault="00900B28" w:rsidP="00592F11">
            <w:pPr>
              <w:pStyle w:val="ListParagraph"/>
              <w:ind w:left="1440"/>
            </w:pPr>
            <w:hyperlink r:id="rId47" w:history="1">
              <w:r w:rsidR="00592F11">
                <w:rPr>
                  <w:rStyle w:val="Hyperlink"/>
                </w:rPr>
                <w:t>www.councilfordisabledchildren.org.uk/resources/the-role-of-social-care-in-implementing-the-children-and-families-act</w:t>
              </w:r>
            </w:hyperlink>
            <w:r w:rsidR="00592F11">
              <w:t xml:space="preserve"> </w:t>
            </w:r>
          </w:p>
          <w:p w:rsidR="00592F11" w:rsidRPr="00592F11" w:rsidRDefault="00592F11" w:rsidP="00592F11">
            <w:pPr>
              <w:pStyle w:val="ListParagraph"/>
              <w:numPr>
                <w:ilvl w:val="1"/>
                <w:numId w:val="43"/>
              </w:numPr>
            </w:pPr>
            <w:r w:rsidRPr="00592F11">
              <w:rPr>
                <w:b/>
                <w:iCs/>
              </w:rPr>
              <w:t xml:space="preserve">Identifying the social needs of disabled children and those with SEN as part of EHC assessments and plans </w:t>
            </w:r>
          </w:p>
          <w:p w:rsidR="00592F11" w:rsidRPr="00592F11" w:rsidRDefault="00900B28" w:rsidP="00592F11">
            <w:pPr>
              <w:pStyle w:val="ListParagraph"/>
              <w:ind w:left="1440"/>
              <w:rPr>
                <w:color w:val="0000FF"/>
              </w:rPr>
            </w:pPr>
            <w:hyperlink r:id="rId48" w:history="1">
              <w:r w:rsidR="00592F11" w:rsidRPr="00592F11">
                <w:rPr>
                  <w:rStyle w:val="Hyperlink"/>
                  <w:iCs/>
                  <w:color w:val="0000FF"/>
                </w:rPr>
                <w:t>www.councilfordisabledchildren.org.uk/media/1107462/identifying-the-social-needs.pdf</w:t>
              </w:r>
            </w:hyperlink>
          </w:p>
          <w:p w:rsidR="00592F11" w:rsidRDefault="00592F11" w:rsidP="00592F11">
            <w:pPr>
              <w:pStyle w:val="ListParagraph"/>
              <w:numPr>
                <w:ilvl w:val="0"/>
                <w:numId w:val="42"/>
              </w:numPr>
            </w:pPr>
            <w:r>
              <w:t>This will ensure a basic or refresher level of learning for those wishing to attend the face to face workshops as outlined above.</w:t>
            </w:r>
          </w:p>
          <w:p w:rsidR="00592F11" w:rsidRDefault="00592F11" w:rsidP="00592F11"/>
        </w:tc>
        <w:tc>
          <w:tcPr>
            <w:tcW w:w="3563" w:type="dxa"/>
            <w:tcBorders>
              <w:top w:val="single" w:sz="4" w:space="0" w:color="auto"/>
              <w:left w:val="single" w:sz="4" w:space="0" w:color="auto"/>
              <w:bottom w:val="single" w:sz="4" w:space="0" w:color="auto"/>
              <w:right w:val="single" w:sz="4" w:space="0" w:color="auto"/>
            </w:tcBorders>
          </w:tcPr>
          <w:p w:rsidR="00592F11" w:rsidRDefault="00592F11" w:rsidP="00592F11">
            <w:r>
              <w:t xml:space="preserve">To discuss your regional priorities and access the offer or for more information, please contact </w:t>
            </w:r>
          </w:p>
          <w:p w:rsidR="00592F11" w:rsidRDefault="00592F11" w:rsidP="00592F11">
            <w:r>
              <w:t xml:space="preserve">Caroline Bennett </w:t>
            </w:r>
            <w:hyperlink r:id="rId49" w:history="1">
              <w:r>
                <w:rPr>
                  <w:rStyle w:val="Hyperlink"/>
                </w:rPr>
                <w:t>cbennett@ncb.org.uk</w:t>
              </w:r>
            </w:hyperlink>
            <w:r>
              <w:t xml:space="preserve"> and/or 020 7843 6061</w:t>
            </w:r>
          </w:p>
        </w:tc>
      </w:tr>
      <w:tr w:rsidR="00592F11" w:rsidTr="00194107">
        <w:tc>
          <w:tcPr>
            <w:tcW w:w="1526" w:type="dxa"/>
            <w:vMerge/>
            <w:tcBorders>
              <w:bottom w:val="single" w:sz="4" w:space="0" w:color="auto"/>
            </w:tcBorders>
            <w:shd w:val="clear" w:color="auto" w:fill="548DD4" w:themeFill="text2" w:themeFillTint="99"/>
          </w:tcPr>
          <w:p w:rsidR="00592F11" w:rsidRDefault="00592F11" w:rsidP="00592F11">
            <w:pPr>
              <w:rPr>
                <w:b/>
                <w:color w:val="FFFFFF" w:themeColor="background1"/>
              </w:rPr>
            </w:pPr>
          </w:p>
        </w:tc>
        <w:tc>
          <w:tcPr>
            <w:tcW w:w="1559" w:type="dxa"/>
            <w:vMerge/>
            <w:tcBorders>
              <w:bottom w:val="single" w:sz="4" w:space="0" w:color="auto"/>
            </w:tcBorders>
          </w:tcPr>
          <w:p w:rsidR="00592F11" w:rsidRDefault="00592F11" w:rsidP="00592F11"/>
        </w:tc>
        <w:tc>
          <w:tcPr>
            <w:tcW w:w="4111" w:type="dxa"/>
            <w:tcBorders>
              <w:top w:val="single" w:sz="4" w:space="0" w:color="auto"/>
              <w:left w:val="single" w:sz="4" w:space="0" w:color="auto"/>
              <w:bottom w:val="single" w:sz="4" w:space="0" w:color="auto"/>
              <w:right w:val="single" w:sz="4" w:space="0" w:color="auto"/>
            </w:tcBorders>
          </w:tcPr>
          <w:p w:rsidR="00592F11" w:rsidRDefault="00592F11" w:rsidP="00592F11">
            <w:r>
              <w:t>Single point of contact for queries related to Social Care via email</w:t>
            </w:r>
          </w:p>
          <w:p w:rsidR="00592F11" w:rsidRDefault="00592F11" w:rsidP="00592F11"/>
        </w:tc>
        <w:tc>
          <w:tcPr>
            <w:tcW w:w="10064" w:type="dxa"/>
            <w:tcBorders>
              <w:top w:val="single" w:sz="4" w:space="0" w:color="auto"/>
              <w:left w:val="single" w:sz="4" w:space="0" w:color="auto"/>
              <w:bottom w:val="single" w:sz="4" w:space="0" w:color="auto"/>
              <w:right w:val="single" w:sz="4" w:space="0" w:color="auto"/>
            </w:tcBorders>
          </w:tcPr>
          <w:p w:rsidR="00592F11" w:rsidRDefault="00592F11" w:rsidP="00592F11">
            <w:pPr>
              <w:pStyle w:val="ListParagraph"/>
              <w:numPr>
                <w:ilvl w:val="0"/>
                <w:numId w:val="41"/>
              </w:numPr>
            </w:pPr>
            <w:r>
              <w:t>Signposting to appropriate information or resources</w:t>
            </w:r>
          </w:p>
          <w:p w:rsidR="00592F11" w:rsidRDefault="00592F11" w:rsidP="00592F11">
            <w:pPr>
              <w:pStyle w:val="ListParagraph"/>
              <w:numPr>
                <w:ilvl w:val="0"/>
                <w:numId w:val="41"/>
              </w:numPr>
            </w:pPr>
            <w:r>
              <w:t>FAQ’s will be collected and responses will be published</w:t>
            </w:r>
          </w:p>
        </w:tc>
        <w:tc>
          <w:tcPr>
            <w:tcW w:w="3563" w:type="dxa"/>
            <w:tcBorders>
              <w:top w:val="single" w:sz="4" w:space="0" w:color="auto"/>
              <w:left w:val="single" w:sz="4" w:space="0" w:color="auto"/>
              <w:bottom w:val="single" w:sz="4" w:space="0" w:color="auto"/>
              <w:right w:val="single" w:sz="4" w:space="0" w:color="auto"/>
            </w:tcBorders>
          </w:tcPr>
          <w:p w:rsidR="00592F11" w:rsidRDefault="00592F11" w:rsidP="00592F11">
            <w:r>
              <w:t xml:space="preserve">Send queries to: </w:t>
            </w:r>
            <w:hyperlink r:id="rId50" w:history="1">
              <w:r>
                <w:rPr>
                  <w:rStyle w:val="Hyperlink"/>
                </w:rPr>
                <w:t>cgoodall@ncb.org.uk</w:t>
              </w:r>
            </w:hyperlink>
            <w:r>
              <w:t xml:space="preserve">  </w:t>
            </w:r>
          </w:p>
          <w:p w:rsidR="00592F11" w:rsidRDefault="00592F11" w:rsidP="00592F11">
            <w:pPr>
              <w:rPr>
                <w:highlight w:val="yellow"/>
              </w:rPr>
            </w:pPr>
          </w:p>
        </w:tc>
      </w:tr>
    </w:tbl>
    <w:p w:rsidR="009A79D1" w:rsidRDefault="009A79D1" w:rsidP="005648AF">
      <w:pPr>
        <w:jc w:val="center"/>
        <w:rPr>
          <w:b/>
        </w:rPr>
      </w:pPr>
    </w:p>
    <w:p w:rsidR="005648AF" w:rsidRDefault="005648AF" w:rsidP="005648AF">
      <w:pPr>
        <w:jc w:val="center"/>
        <w:rPr>
          <w:b/>
        </w:rPr>
      </w:pPr>
    </w:p>
    <w:p w:rsidR="00222D75" w:rsidRDefault="00222D75">
      <w:pPr>
        <w:rPr>
          <w:b/>
        </w:rPr>
      </w:pPr>
    </w:p>
    <w:p w:rsidR="00222D75" w:rsidRPr="009A79D1" w:rsidRDefault="00222D75">
      <w:pPr>
        <w:rPr>
          <w:b/>
        </w:rPr>
      </w:pPr>
    </w:p>
    <w:sectPr w:rsidR="00222D75" w:rsidRPr="009A79D1" w:rsidSect="00284FF6">
      <w:headerReference w:type="even" r:id="rId51"/>
      <w:headerReference w:type="default" r:id="rId52"/>
      <w:footerReference w:type="even" r:id="rId53"/>
      <w:footerReference w:type="default" r:id="rId54"/>
      <w:headerReference w:type="first" r:id="rId55"/>
      <w:footerReference w:type="first" r:id="rId56"/>
      <w:pgSz w:w="23814" w:h="16839" w:orient="landscape"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98D" w:rsidRDefault="0062798D" w:rsidP="00266ACB">
      <w:pPr>
        <w:spacing w:after="0" w:line="240" w:lineRule="auto"/>
      </w:pPr>
      <w:r>
        <w:separator/>
      </w:r>
    </w:p>
  </w:endnote>
  <w:endnote w:type="continuationSeparator" w:id="0">
    <w:p w:rsidR="0062798D" w:rsidRDefault="0062798D" w:rsidP="00266A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B8B" w:rsidRDefault="00363B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B8B" w:rsidRDefault="00363B8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B8B" w:rsidRDefault="00363B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98D" w:rsidRDefault="0062798D" w:rsidP="00266ACB">
      <w:pPr>
        <w:spacing w:after="0" w:line="240" w:lineRule="auto"/>
      </w:pPr>
      <w:r>
        <w:separator/>
      </w:r>
    </w:p>
  </w:footnote>
  <w:footnote w:type="continuationSeparator" w:id="0">
    <w:p w:rsidR="0062798D" w:rsidRDefault="0062798D" w:rsidP="00266A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B8B" w:rsidRDefault="00363B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6599537"/>
      <w:docPartObj>
        <w:docPartGallery w:val="Watermarks"/>
        <w:docPartUnique/>
      </w:docPartObj>
    </w:sdtPr>
    <w:sdtEndPr/>
    <w:sdtContent>
      <w:p w:rsidR="00266ACB" w:rsidRDefault="00900B28">
        <w:pPr>
          <w:pStyle w:val="Header"/>
        </w:pPr>
        <w:r>
          <w:rPr>
            <w:noProof/>
            <w:lang w:val="en-US"/>
          </w:rPr>
          <w:pict w14:anchorId="3F11C3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B8B" w:rsidRDefault="00363B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66D6"/>
    <w:multiLevelType w:val="hybridMultilevel"/>
    <w:tmpl w:val="FFA2AA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3741918"/>
    <w:multiLevelType w:val="hybridMultilevel"/>
    <w:tmpl w:val="CA06DC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4B8247F"/>
    <w:multiLevelType w:val="hybridMultilevel"/>
    <w:tmpl w:val="C06C68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94D71B8"/>
    <w:multiLevelType w:val="hybridMultilevel"/>
    <w:tmpl w:val="05A4E0F2"/>
    <w:lvl w:ilvl="0" w:tplc="4A029146">
      <w:start w:val="30"/>
      <w:numFmt w:val="bullet"/>
      <w:lvlText w:val="-"/>
      <w:lvlJc w:val="left"/>
      <w:pPr>
        <w:ind w:left="360" w:hanging="360"/>
      </w:pPr>
      <w:rPr>
        <w:rFonts w:ascii="Calibri" w:eastAsia="Calibr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C0D0992"/>
    <w:multiLevelType w:val="hybridMultilevel"/>
    <w:tmpl w:val="B7E2F326"/>
    <w:lvl w:ilvl="0" w:tplc="4A029146">
      <w:start w:val="3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416551"/>
    <w:multiLevelType w:val="hybridMultilevel"/>
    <w:tmpl w:val="077A2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20E3374"/>
    <w:multiLevelType w:val="hybridMultilevel"/>
    <w:tmpl w:val="6EEEF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4644995"/>
    <w:multiLevelType w:val="hybridMultilevel"/>
    <w:tmpl w:val="5C629372"/>
    <w:lvl w:ilvl="0" w:tplc="4A029146">
      <w:start w:val="3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56F5291"/>
    <w:multiLevelType w:val="hybridMultilevel"/>
    <w:tmpl w:val="929E3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5FC73F3"/>
    <w:multiLevelType w:val="hybridMultilevel"/>
    <w:tmpl w:val="22B61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61242E0"/>
    <w:multiLevelType w:val="hybridMultilevel"/>
    <w:tmpl w:val="AF3ACBDC"/>
    <w:lvl w:ilvl="0" w:tplc="4A029146">
      <w:start w:val="30"/>
      <w:numFmt w:val="bullet"/>
      <w:lvlText w:val="-"/>
      <w:lvlJc w:val="left"/>
      <w:pPr>
        <w:ind w:left="360" w:hanging="360"/>
      </w:pPr>
      <w:rPr>
        <w:rFonts w:ascii="Calibri" w:eastAsia="Calibr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7E821F5"/>
    <w:multiLevelType w:val="hybridMultilevel"/>
    <w:tmpl w:val="C66492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D042655"/>
    <w:multiLevelType w:val="hybridMultilevel"/>
    <w:tmpl w:val="A282E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E180FCE"/>
    <w:multiLevelType w:val="hybridMultilevel"/>
    <w:tmpl w:val="F84E7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08E720C"/>
    <w:multiLevelType w:val="hybridMultilevel"/>
    <w:tmpl w:val="126AAC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1356C52"/>
    <w:multiLevelType w:val="hybridMultilevel"/>
    <w:tmpl w:val="B2DC1E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32675D3F"/>
    <w:multiLevelType w:val="hybridMultilevel"/>
    <w:tmpl w:val="F58EE3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33F27A82"/>
    <w:multiLevelType w:val="hybridMultilevel"/>
    <w:tmpl w:val="294470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34834A00"/>
    <w:multiLevelType w:val="hybridMultilevel"/>
    <w:tmpl w:val="268A0A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37E92899"/>
    <w:multiLevelType w:val="hybridMultilevel"/>
    <w:tmpl w:val="567C4F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AD8232F"/>
    <w:multiLevelType w:val="hybridMultilevel"/>
    <w:tmpl w:val="EAE61472"/>
    <w:lvl w:ilvl="0" w:tplc="4A029146">
      <w:start w:val="3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BD80746"/>
    <w:multiLevelType w:val="hybridMultilevel"/>
    <w:tmpl w:val="546E86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3CC1790E"/>
    <w:multiLevelType w:val="hybridMultilevel"/>
    <w:tmpl w:val="D58858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3D2E6094"/>
    <w:multiLevelType w:val="hybridMultilevel"/>
    <w:tmpl w:val="D16E1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F903706"/>
    <w:multiLevelType w:val="hybridMultilevel"/>
    <w:tmpl w:val="5400E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7E0292B"/>
    <w:multiLevelType w:val="hybridMultilevel"/>
    <w:tmpl w:val="15C0D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9994692"/>
    <w:multiLevelType w:val="hybridMultilevel"/>
    <w:tmpl w:val="0128C110"/>
    <w:lvl w:ilvl="0" w:tplc="4A029146">
      <w:start w:val="3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FF8316A"/>
    <w:multiLevelType w:val="hybridMultilevel"/>
    <w:tmpl w:val="C22EE3F6"/>
    <w:lvl w:ilvl="0" w:tplc="4A029146">
      <w:start w:val="30"/>
      <w:numFmt w:val="bullet"/>
      <w:lvlText w:val="-"/>
      <w:lvlJc w:val="left"/>
      <w:pPr>
        <w:ind w:left="360" w:hanging="360"/>
      </w:pPr>
      <w:rPr>
        <w:rFonts w:ascii="Calibri" w:eastAsia="Calibr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5A177F5A"/>
    <w:multiLevelType w:val="hybridMultilevel"/>
    <w:tmpl w:val="CF6CF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A320AF5"/>
    <w:multiLevelType w:val="hybridMultilevel"/>
    <w:tmpl w:val="01DE0712"/>
    <w:lvl w:ilvl="0" w:tplc="4A029146">
      <w:start w:val="3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DB52C8F"/>
    <w:multiLevelType w:val="hybridMultilevel"/>
    <w:tmpl w:val="270422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5F8540CF"/>
    <w:multiLevelType w:val="hybridMultilevel"/>
    <w:tmpl w:val="B9A233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60CB0710"/>
    <w:multiLevelType w:val="hybridMultilevel"/>
    <w:tmpl w:val="32AA1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5D453EB"/>
    <w:multiLevelType w:val="hybridMultilevel"/>
    <w:tmpl w:val="2EB2BBDE"/>
    <w:lvl w:ilvl="0" w:tplc="4A029146">
      <w:start w:val="3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8C64A2F"/>
    <w:multiLevelType w:val="hybridMultilevel"/>
    <w:tmpl w:val="55D2DF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704D1684"/>
    <w:multiLevelType w:val="hybridMultilevel"/>
    <w:tmpl w:val="AC468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2CC559F"/>
    <w:multiLevelType w:val="hybridMultilevel"/>
    <w:tmpl w:val="1BBEB0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73932829"/>
    <w:multiLevelType w:val="hybridMultilevel"/>
    <w:tmpl w:val="ADD8D9D2"/>
    <w:lvl w:ilvl="0" w:tplc="08090001">
      <w:start w:val="1"/>
      <w:numFmt w:val="bullet"/>
      <w:lvlText w:val=""/>
      <w:lvlJc w:val="left"/>
      <w:pPr>
        <w:ind w:left="720" w:hanging="360"/>
      </w:pPr>
      <w:rPr>
        <w:rFonts w:ascii="Symbol" w:hAnsi="Symbol" w:hint="default"/>
      </w:rPr>
    </w:lvl>
    <w:lvl w:ilvl="1" w:tplc="4A029146">
      <w:start w:val="30"/>
      <w:numFmt w:val="bullet"/>
      <w:lvlText w:val="-"/>
      <w:lvlJc w:val="left"/>
      <w:pPr>
        <w:ind w:left="1440" w:hanging="360"/>
      </w:pPr>
      <w:rPr>
        <w:rFonts w:ascii="Calibri" w:eastAsia="Calibr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436022F"/>
    <w:multiLevelType w:val="hybridMultilevel"/>
    <w:tmpl w:val="D6E4A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52A2045"/>
    <w:multiLevelType w:val="hybridMultilevel"/>
    <w:tmpl w:val="6F568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8DC6E36"/>
    <w:multiLevelType w:val="hybridMultilevel"/>
    <w:tmpl w:val="BD527F50"/>
    <w:lvl w:ilvl="0" w:tplc="08090001">
      <w:start w:val="1"/>
      <w:numFmt w:val="bullet"/>
      <w:lvlText w:val=""/>
      <w:lvlJc w:val="left"/>
      <w:pPr>
        <w:ind w:left="360" w:hanging="360"/>
      </w:pPr>
      <w:rPr>
        <w:rFonts w:ascii="Symbol" w:hAnsi="Symbol" w:hint="default"/>
      </w:rPr>
    </w:lvl>
    <w:lvl w:ilvl="1" w:tplc="4A029146">
      <w:start w:val="30"/>
      <w:numFmt w:val="bullet"/>
      <w:lvlText w:val="-"/>
      <w:lvlJc w:val="left"/>
      <w:pPr>
        <w:ind w:left="1080" w:hanging="360"/>
      </w:pPr>
      <w:rPr>
        <w:rFonts w:ascii="Calibri" w:eastAsia="Calibri"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nsid w:val="79701912"/>
    <w:multiLevelType w:val="hybridMultilevel"/>
    <w:tmpl w:val="05CCBF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2">
    <w:nsid w:val="7E4B641B"/>
    <w:multiLevelType w:val="hybridMultilevel"/>
    <w:tmpl w:val="533EE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8"/>
  </w:num>
  <w:num w:numId="2">
    <w:abstractNumId w:val="32"/>
  </w:num>
  <w:num w:numId="3">
    <w:abstractNumId w:val="13"/>
  </w:num>
  <w:num w:numId="4">
    <w:abstractNumId w:val="14"/>
  </w:num>
  <w:num w:numId="5">
    <w:abstractNumId w:val="42"/>
  </w:num>
  <w:num w:numId="6">
    <w:abstractNumId w:val="25"/>
  </w:num>
  <w:num w:numId="7">
    <w:abstractNumId w:val="23"/>
  </w:num>
  <w:num w:numId="8">
    <w:abstractNumId w:val="6"/>
  </w:num>
  <w:num w:numId="9">
    <w:abstractNumId w:val="8"/>
  </w:num>
  <w:num w:numId="10">
    <w:abstractNumId w:val="21"/>
  </w:num>
  <w:num w:numId="11">
    <w:abstractNumId w:val="10"/>
  </w:num>
  <w:num w:numId="12">
    <w:abstractNumId w:val="30"/>
  </w:num>
  <w:num w:numId="13">
    <w:abstractNumId w:val="20"/>
  </w:num>
  <w:num w:numId="14">
    <w:abstractNumId w:val="33"/>
  </w:num>
  <w:num w:numId="15">
    <w:abstractNumId w:val="29"/>
  </w:num>
  <w:num w:numId="16">
    <w:abstractNumId w:val="9"/>
  </w:num>
  <w:num w:numId="17">
    <w:abstractNumId w:val="5"/>
  </w:num>
  <w:num w:numId="18">
    <w:abstractNumId w:val="24"/>
  </w:num>
  <w:num w:numId="19">
    <w:abstractNumId w:val="26"/>
  </w:num>
  <w:num w:numId="20">
    <w:abstractNumId w:val="4"/>
  </w:num>
  <w:num w:numId="21">
    <w:abstractNumId w:val="36"/>
  </w:num>
  <w:num w:numId="22">
    <w:abstractNumId w:val="18"/>
  </w:num>
  <w:num w:numId="23">
    <w:abstractNumId w:val="7"/>
  </w:num>
  <w:num w:numId="24">
    <w:abstractNumId w:val="3"/>
  </w:num>
  <w:num w:numId="25">
    <w:abstractNumId w:val="0"/>
  </w:num>
  <w:num w:numId="26">
    <w:abstractNumId w:val="35"/>
  </w:num>
  <w:num w:numId="27">
    <w:abstractNumId w:val="22"/>
  </w:num>
  <w:num w:numId="28">
    <w:abstractNumId w:val="11"/>
  </w:num>
  <w:num w:numId="29">
    <w:abstractNumId w:val="2"/>
  </w:num>
  <w:num w:numId="30">
    <w:abstractNumId w:val="15"/>
  </w:num>
  <w:num w:numId="31">
    <w:abstractNumId w:val="17"/>
  </w:num>
  <w:num w:numId="32">
    <w:abstractNumId w:val="28"/>
  </w:num>
  <w:num w:numId="33">
    <w:abstractNumId w:val="39"/>
  </w:num>
  <w:num w:numId="34">
    <w:abstractNumId w:val="34"/>
  </w:num>
  <w:num w:numId="35">
    <w:abstractNumId w:val="12"/>
  </w:num>
  <w:num w:numId="36">
    <w:abstractNumId w:val="1"/>
  </w:num>
  <w:num w:numId="37">
    <w:abstractNumId w:val="40"/>
  </w:num>
  <w:num w:numId="38">
    <w:abstractNumId w:val="27"/>
  </w:num>
  <w:num w:numId="39">
    <w:abstractNumId w:val="31"/>
  </w:num>
  <w:num w:numId="40">
    <w:abstractNumId w:val="41"/>
  </w:num>
  <w:num w:numId="41">
    <w:abstractNumId w:val="16"/>
  </w:num>
  <w:num w:numId="42">
    <w:abstractNumId w:val="19"/>
  </w:num>
  <w:num w:numId="43">
    <w:abstractNumId w:val="3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FF6"/>
    <w:rsid w:val="00002AD0"/>
    <w:rsid w:val="00015ADE"/>
    <w:rsid w:val="000225B5"/>
    <w:rsid w:val="00030E4D"/>
    <w:rsid w:val="00036069"/>
    <w:rsid w:val="00045B12"/>
    <w:rsid w:val="00062208"/>
    <w:rsid w:val="00083B6F"/>
    <w:rsid w:val="000A0DE8"/>
    <w:rsid w:val="000D0745"/>
    <w:rsid w:val="000D2096"/>
    <w:rsid w:val="000D462B"/>
    <w:rsid w:val="00122D0D"/>
    <w:rsid w:val="00157F8F"/>
    <w:rsid w:val="001765AC"/>
    <w:rsid w:val="00183FEC"/>
    <w:rsid w:val="00194704"/>
    <w:rsid w:val="001A70F9"/>
    <w:rsid w:val="002161B2"/>
    <w:rsid w:val="00222D75"/>
    <w:rsid w:val="00243B8D"/>
    <w:rsid w:val="00266ACB"/>
    <w:rsid w:val="00282D4B"/>
    <w:rsid w:val="00284FF6"/>
    <w:rsid w:val="002878D2"/>
    <w:rsid w:val="0029561F"/>
    <w:rsid w:val="00295D4A"/>
    <w:rsid w:val="002B524A"/>
    <w:rsid w:val="002D4685"/>
    <w:rsid w:val="00301819"/>
    <w:rsid w:val="00304A3B"/>
    <w:rsid w:val="00320A7F"/>
    <w:rsid w:val="00322D8E"/>
    <w:rsid w:val="00363B8B"/>
    <w:rsid w:val="0037234B"/>
    <w:rsid w:val="0037427E"/>
    <w:rsid w:val="00375CE8"/>
    <w:rsid w:val="003A5CF5"/>
    <w:rsid w:val="003C5AC2"/>
    <w:rsid w:val="003D421B"/>
    <w:rsid w:val="003D4936"/>
    <w:rsid w:val="003D507E"/>
    <w:rsid w:val="003E77CD"/>
    <w:rsid w:val="003F5F69"/>
    <w:rsid w:val="00403889"/>
    <w:rsid w:val="004205A2"/>
    <w:rsid w:val="004534A2"/>
    <w:rsid w:val="00465271"/>
    <w:rsid w:val="004A0484"/>
    <w:rsid w:val="004A652C"/>
    <w:rsid w:val="004D066B"/>
    <w:rsid w:val="004F4E16"/>
    <w:rsid w:val="0050690D"/>
    <w:rsid w:val="00522446"/>
    <w:rsid w:val="00526F6C"/>
    <w:rsid w:val="00532206"/>
    <w:rsid w:val="0056294D"/>
    <w:rsid w:val="005648AF"/>
    <w:rsid w:val="00574882"/>
    <w:rsid w:val="00592F11"/>
    <w:rsid w:val="005A57C1"/>
    <w:rsid w:val="005C005B"/>
    <w:rsid w:val="0062798D"/>
    <w:rsid w:val="00670965"/>
    <w:rsid w:val="00686C4C"/>
    <w:rsid w:val="006A6DA8"/>
    <w:rsid w:val="006C3FD9"/>
    <w:rsid w:val="006C54CA"/>
    <w:rsid w:val="006D27B4"/>
    <w:rsid w:val="006D7983"/>
    <w:rsid w:val="006D7E46"/>
    <w:rsid w:val="00710FAC"/>
    <w:rsid w:val="00745643"/>
    <w:rsid w:val="00746872"/>
    <w:rsid w:val="00750D9F"/>
    <w:rsid w:val="0075717C"/>
    <w:rsid w:val="00777093"/>
    <w:rsid w:val="007C1140"/>
    <w:rsid w:val="007D63DE"/>
    <w:rsid w:val="00842171"/>
    <w:rsid w:val="00842CDF"/>
    <w:rsid w:val="00844E72"/>
    <w:rsid w:val="00847DDD"/>
    <w:rsid w:val="00865D41"/>
    <w:rsid w:val="008A2A48"/>
    <w:rsid w:val="00900B28"/>
    <w:rsid w:val="0090539F"/>
    <w:rsid w:val="00916915"/>
    <w:rsid w:val="0092409E"/>
    <w:rsid w:val="00932EED"/>
    <w:rsid w:val="00997977"/>
    <w:rsid w:val="009A79D1"/>
    <w:rsid w:val="009E1632"/>
    <w:rsid w:val="009E6C39"/>
    <w:rsid w:val="00A250EA"/>
    <w:rsid w:val="00A40529"/>
    <w:rsid w:val="00A52456"/>
    <w:rsid w:val="00A76B69"/>
    <w:rsid w:val="00A82BD4"/>
    <w:rsid w:val="00A97E56"/>
    <w:rsid w:val="00AA62CF"/>
    <w:rsid w:val="00AB4705"/>
    <w:rsid w:val="00B14E5E"/>
    <w:rsid w:val="00B211AC"/>
    <w:rsid w:val="00B21746"/>
    <w:rsid w:val="00B240CA"/>
    <w:rsid w:val="00B24A40"/>
    <w:rsid w:val="00B303C6"/>
    <w:rsid w:val="00BB3B81"/>
    <w:rsid w:val="00BF3F87"/>
    <w:rsid w:val="00C0381A"/>
    <w:rsid w:val="00C170C6"/>
    <w:rsid w:val="00C179AD"/>
    <w:rsid w:val="00C20EAD"/>
    <w:rsid w:val="00C439AC"/>
    <w:rsid w:val="00C509A4"/>
    <w:rsid w:val="00C6060C"/>
    <w:rsid w:val="00C63215"/>
    <w:rsid w:val="00C93C08"/>
    <w:rsid w:val="00C95BBA"/>
    <w:rsid w:val="00CD253F"/>
    <w:rsid w:val="00D355C2"/>
    <w:rsid w:val="00D44056"/>
    <w:rsid w:val="00D617D3"/>
    <w:rsid w:val="00D72320"/>
    <w:rsid w:val="00D7483F"/>
    <w:rsid w:val="00D952D0"/>
    <w:rsid w:val="00DE6D6F"/>
    <w:rsid w:val="00E040E1"/>
    <w:rsid w:val="00E14D6E"/>
    <w:rsid w:val="00E37D0D"/>
    <w:rsid w:val="00E429AC"/>
    <w:rsid w:val="00E60478"/>
    <w:rsid w:val="00E607D1"/>
    <w:rsid w:val="00E62BD3"/>
    <w:rsid w:val="00E754C1"/>
    <w:rsid w:val="00E76911"/>
    <w:rsid w:val="00ED3AD3"/>
    <w:rsid w:val="00EE54B3"/>
    <w:rsid w:val="00EF3BD1"/>
    <w:rsid w:val="00F02E37"/>
    <w:rsid w:val="00F04F0C"/>
    <w:rsid w:val="00F13B10"/>
    <w:rsid w:val="00F15B08"/>
    <w:rsid w:val="00F17A6B"/>
    <w:rsid w:val="00F356E1"/>
    <w:rsid w:val="00F4195F"/>
    <w:rsid w:val="00F4269D"/>
    <w:rsid w:val="00F523F9"/>
    <w:rsid w:val="00F54AF9"/>
    <w:rsid w:val="00F81A4A"/>
    <w:rsid w:val="00F95CD7"/>
    <w:rsid w:val="00FB56C0"/>
    <w:rsid w:val="00FC4D49"/>
    <w:rsid w:val="00FD7B4E"/>
    <w:rsid w:val="00FE38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A79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A79D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4F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No Spacing1,List Paragraph Char Char Char,Indicator Text,List Paragraph1,Numbered Para 1,Bullet 1,List Paragraph12,F5 List Paragraph,Bullet Points,MAIN CONTENT,Colorful List - Accent 11,List Paragraph2,Normal numbered,OBC Bullet"/>
    <w:basedOn w:val="Normal"/>
    <w:link w:val="ListParagraphChar"/>
    <w:uiPriority w:val="34"/>
    <w:qFormat/>
    <w:rsid w:val="00284FF6"/>
    <w:pPr>
      <w:ind w:left="720"/>
      <w:contextualSpacing/>
    </w:pPr>
  </w:style>
  <w:style w:type="character" w:styleId="Hyperlink">
    <w:name w:val="Hyperlink"/>
    <w:basedOn w:val="DefaultParagraphFont"/>
    <w:uiPriority w:val="99"/>
    <w:unhideWhenUsed/>
    <w:rsid w:val="00522446"/>
    <w:rPr>
      <w:color w:val="0000FF" w:themeColor="hyperlink"/>
      <w:u w:val="single"/>
    </w:rPr>
  </w:style>
  <w:style w:type="character" w:customStyle="1" w:styleId="Heading1Char">
    <w:name w:val="Heading 1 Char"/>
    <w:basedOn w:val="DefaultParagraphFont"/>
    <w:link w:val="Heading1"/>
    <w:uiPriority w:val="9"/>
    <w:rsid w:val="009A79D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A79D1"/>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9A79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A79D1"/>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670965"/>
    <w:rPr>
      <w:sz w:val="16"/>
      <w:szCs w:val="16"/>
    </w:rPr>
  </w:style>
  <w:style w:type="paragraph" w:styleId="CommentText">
    <w:name w:val="annotation text"/>
    <w:basedOn w:val="Normal"/>
    <w:link w:val="CommentTextChar"/>
    <w:uiPriority w:val="99"/>
    <w:semiHidden/>
    <w:unhideWhenUsed/>
    <w:rsid w:val="00670965"/>
    <w:pPr>
      <w:spacing w:line="240" w:lineRule="auto"/>
    </w:pPr>
    <w:rPr>
      <w:sz w:val="20"/>
      <w:szCs w:val="20"/>
    </w:rPr>
  </w:style>
  <w:style w:type="character" w:customStyle="1" w:styleId="CommentTextChar">
    <w:name w:val="Comment Text Char"/>
    <w:basedOn w:val="DefaultParagraphFont"/>
    <w:link w:val="CommentText"/>
    <w:uiPriority w:val="99"/>
    <w:semiHidden/>
    <w:rsid w:val="00670965"/>
    <w:rPr>
      <w:sz w:val="20"/>
      <w:szCs w:val="20"/>
    </w:rPr>
  </w:style>
  <w:style w:type="paragraph" w:styleId="BalloonText">
    <w:name w:val="Balloon Text"/>
    <w:basedOn w:val="Normal"/>
    <w:link w:val="BalloonTextChar"/>
    <w:uiPriority w:val="99"/>
    <w:semiHidden/>
    <w:unhideWhenUsed/>
    <w:rsid w:val="006709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0965"/>
    <w:rPr>
      <w:rFonts w:ascii="Tahoma" w:hAnsi="Tahoma" w:cs="Tahoma"/>
      <w:sz w:val="16"/>
      <w:szCs w:val="16"/>
    </w:rPr>
  </w:style>
  <w:style w:type="character" w:styleId="FollowedHyperlink">
    <w:name w:val="FollowedHyperlink"/>
    <w:basedOn w:val="DefaultParagraphFont"/>
    <w:uiPriority w:val="99"/>
    <w:semiHidden/>
    <w:unhideWhenUsed/>
    <w:rsid w:val="00A97E56"/>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526F6C"/>
    <w:rPr>
      <w:b/>
      <w:bCs/>
    </w:rPr>
  </w:style>
  <w:style w:type="character" w:customStyle="1" w:styleId="CommentSubjectChar">
    <w:name w:val="Comment Subject Char"/>
    <w:basedOn w:val="CommentTextChar"/>
    <w:link w:val="CommentSubject"/>
    <w:uiPriority w:val="99"/>
    <w:semiHidden/>
    <w:rsid w:val="00526F6C"/>
    <w:rPr>
      <w:b/>
      <w:bCs/>
      <w:sz w:val="20"/>
      <w:szCs w:val="20"/>
    </w:rPr>
  </w:style>
  <w:style w:type="paragraph" w:styleId="Header">
    <w:name w:val="header"/>
    <w:basedOn w:val="Normal"/>
    <w:link w:val="HeaderChar"/>
    <w:uiPriority w:val="99"/>
    <w:unhideWhenUsed/>
    <w:rsid w:val="00266A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6ACB"/>
  </w:style>
  <w:style w:type="paragraph" w:styleId="Footer">
    <w:name w:val="footer"/>
    <w:basedOn w:val="Normal"/>
    <w:link w:val="FooterChar"/>
    <w:uiPriority w:val="99"/>
    <w:unhideWhenUsed/>
    <w:rsid w:val="00266A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6ACB"/>
  </w:style>
  <w:style w:type="character" w:customStyle="1" w:styleId="ListParagraphChar">
    <w:name w:val="List Paragraph Char"/>
    <w:aliases w:val="Dot pt Char,No Spacing1 Char,List Paragraph Char Char Char Char,Indicator Text Char,List Paragraph1 Char,Numbered Para 1 Char,Bullet 1 Char,List Paragraph12 Char,F5 List Paragraph Char,Bullet Points Char,MAIN CONTENT Char"/>
    <w:link w:val="ListParagraph"/>
    <w:uiPriority w:val="34"/>
    <w:qFormat/>
    <w:locked/>
    <w:rsid w:val="00842171"/>
  </w:style>
  <w:style w:type="paragraph" w:customStyle="1" w:styleId="Default">
    <w:name w:val="Default"/>
    <w:rsid w:val="00045B12"/>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A79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A79D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4F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No Spacing1,List Paragraph Char Char Char,Indicator Text,List Paragraph1,Numbered Para 1,Bullet 1,List Paragraph12,F5 List Paragraph,Bullet Points,MAIN CONTENT,Colorful List - Accent 11,List Paragraph2,Normal numbered,OBC Bullet"/>
    <w:basedOn w:val="Normal"/>
    <w:link w:val="ListParagraphChar"/>
    <w:uiPriority w:val="34"/>
    <w:qFormat/>
    <w:rsid w:val="00284FF6"/>
    <w:pPr>
      <w:ind w:left="720"/>
      <w:contextualSpacing/>
    </w:pPr>
  </w:style>
  <w:style w:type="character" w:styleId="Hyperlink">
    <w:name w:val="Hyperlink"/>
    <w:basedOn w:val="DefaultParagraphFont"/>
    <w:uiPriority w:val="99"/>
    <w:unhideWhenUsed/>
    <w:rsid w:val="00522446"/>
    <w:rPr>
      <w:color w:val="0000FF" w:themeColor="hyperlink"/>
      <w:u w:val="single"/>
    </w:rPr>
  </w:style>
  <w:style w:type="character" w:customStyle="1" w:styleId="Heading1Char">
    <w:name w:val="Heading 1 Char"/>
    <w:basedOn w:val="DefaultParagraphFont"/>
    <w:link w:val="Heading1"/>
    <w:uiPriority w:val="9"/>
    <w:rsid w:val="009A79D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A79D1"/>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9A79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A79D1"/>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670965"/>
    <w:rPr>
      <w:sz w:val="16"/>
      <w:szCs w:val="16"/>
    </w:rPr>
  </w:style>
  <w:style w:type="paragraph" w:styleId="CommentText">
    <w:name w:val="annotation text"/>
    <w:basedOn w:val="Normal"/>
    <w:link w:val="CommentTextChar"/>
    <w:uiPriority w:val="99"/>
    <w:semiHidden/>
    <w:unhideWhenUsed/>
    <w:rsid w:val="00670965"/>
    <w:pPr>
      <w:spacing w:line="240" w:lineRule="auto"/>
    </w:pPr>
    <w:rPr>
      <w:sz w:val="20"/>
      <w:szCs w:val="20"/>
    </w:rPr>
  </w:style>
  <w:style w:type="character" w:customStyle="1" w:styleId="CommentTextChar">
    <w:name w:val="Comment Text Char"/>
    <w:basedOn w:val="DefaultParagraphFont"/>
    <w:link w:val="CommentText"/>
    <w:uiPriority w:val="99"/>
    <w:semiHidden/>
    <w:rsid w:val="00670965"/>
    <w:rPr>
      <w:sz w:val="20"/>
      <w:szCs w:val="20"/>
    </w:rPr>
  </w:style>
  <w:style w:type="paragraph" w:styleId="BalloonText">
    <w:name w:val="Balloon Text"/>
    <w:basedOn w:val="Normal"/>
    <w:link w:val="BalloonTextChar"/>
    <w:uiPriority w:val="99"/>
    <w:semiHidden/>
    <w:unhideWhenUsed/>
    <w:rsid w:val="006709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0965"/>
    <w:rPr>
      <w:rFonts w:ascii="Tahoma" w:hAnsi="Tahoma" w:cs="Tahoma"/>
      <w:sz w:val="16"/>
      <w:szCs w:val="16"/>
    </w:rPr>
  </w:style>
  <w:style w:type="character" w:styleId="FollowedHyperlink">
    <w:name w:val="FollowedHyperlink"/>
    <w:basedOn w:val="DefaultParagraphFont"/>
    <w:uiPriority w:val="99"/>
    <w:semiHidden/>
    <w:unhideWhenUsed/>
    <w:rsid w:val="00A97E56"/>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526F6C"/>
    <w:rPr>
      <w:b/>
      <w:bCs/>
    </w:rPr>
  </w:style>
  <w:style w:type="character" w:customStyle="1" w:styleId="CommentSubjectChar">
    <w:name w:val="Comment Subject Char"/>
    <w:basedOn w:val="CommentTextChar"/>
    <w:link w:val="CommentSubject"/>
    <w:uiPriority w:val="99"/>
    <w:semiHidden/>
    <w:rsid w:val="00526F6C"/>
    <w:rPr>
      <w:b/>
      <w:bCs/>
      <w:sz w:val="20"/>
      <w:szCs w:val="20"/>
    </w:rPr>
  </w:style>
  <w:style w:type="paragraph" w:styleId="Header">
    <w:name w:val="header"/>
    <w:basedOn w:val="Normal"/>
    <w:link w:val="HeaderChar"/>
    <w:uiPriority w:val="99"/>
    <w:unhideWhenUsed/>
    <w:rsid w:val="00266A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6ACB"/>
  </w:style>
  <w:style w:type="paragraph" w:styleId="Footer">
    <w:name w:val="footer"/>
    <w:basedOn w:val="Normal"/>
    <w:link w:val="FooterChar"/>
    <w:uiPriority w:val="99"/>
    <w:unhideWhenUsed/>
    <w:rsid w:val="00266A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6ACB"/>
  </w:style>
  <w:style w:type="character" w:customStyle="1" w:styleId="ListParagraphChar">
    <w:name w:val="List Paragraph Char"/>
    <w:aliases w:val="Dot pt Char,No Spacing1 Char,List Paragraph Char Char Char Char,Indicator Text Char,List Paragraph1 Char,Numbered Para 1 Char,Bullet 1 Char,List Paragraph12 Char,F5 List Paragraph Char,Bullet Points Char,MAIN CONTENT Char"/>
    <w:link w:val="ListParagraph"/>
    <w:uiPriority w:val="34"/>
    <w:qFormat/>
    <w:locked/>
    <w:rsid w:val="00842171"/>
  </w:style>
  <w:style w:type="paragraph" w:customStyle="1" w:styleId="Default">
    <w:name w:val="Default"/>
    <w:rsid w:val="00045B1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2599">
      <w:bodyDiv w:val="1"/>
      <w:marLeft w:val="0"/>
      <w:marRight w:val="0"/>
      <w:marTop w:val="0"/>
      <w:marBottom w:val="0"/>
      <w:divBdr>
        <w:top w:val="none" w:sz="0" w:space="0" w:color="auto"/>
        <w:left w:val="none" w:sz="0" w:space="0" w:color="auto"/>
        <w:bottom w:val="none" w:sz="0" w:space="0" w:color="auto"/>
        <w:right w:val="none" w:sz="0" w:space="0" w:color="auto"/>
      </w:divBdr>
    </w:div>
    <w:div w:id="22486645">
      <w:bodyDiv w:val="1"/>
      <w:marLeft w:val="0"/>
      <w:marRight w:val="0"/>
      <w:marTop w:val="0"/>
      <w:marBottom w:val="0"/>
      <w:divBdr>
        <w:top w:val="none" w:sz="0" w:space="0" w:color="auto"/>
        <w:left w:val="none" w:sz="0" w:space="0" w:color="auto"/>
        <w:bottom w:val="none" w:sz="0" w:space="0" w:color="auto"/>
        <w:right w:val="none" w:sz="0" w:space="0" w:color="auto"/>
      </w:divBdr>
    </w:div>
    <w:div w:id="93748988">
      <w:bodyDiv w:val="1"/>
      <w:marLeft w:val="0"/>
      <w:marRight w:val="0"/>
      <w:marTop w:val="0"/>
      <w:marBottom w:val="0"/>
      <w:divBdr>
        <w:top w:val="none" w:sz="0" w:space="0" w:color="auto"/>
        <w:left w:val="none" w:sz="0" w:space="0" w:color="auto"/>
        <w:bottom w:val="none" w:sz="0" w:space="0" w:color="auto"/>
        <w:right w:val="none" w:sz="0" w:space="0" w:color="auto"/>
      </w:divBdr>
    </w:div>
    <w:div w:id="139927898">
      <w:bodyDiv w:val="1"/>
      <w:marLeft w:val="0"/>
      <w:marRight w:val="0"/>
      <w:marTop w:val="0"/>
      <w:marBottom w:val="0"/>
      <w:divBdr>
        <w:top w:val="none" w:sz="0" w:space="0" w:color="auto"/>
        <w:left w:val="none" w:sz="0" w:space="0" w:color="auto"/>
        <w:bottom w:val="none" w:sz="0" w:space="0" w:color="auto"/>
        <w:right w:val="none" w:sz="0" w:space="0" w:color="auto"/>
      </w:divBdr>
    </w:div>
    <w:div w:id="148131293">
      <w:bodyDiv w:val="1"/>
      <w:marLeft w:val="0"/>
      <w:marRight w:val="0"/>
      <w:marTop w:val="0"/>
      <w:marBottom w:val="0"/>
      <w:divBdr>
        <w:top w:val="none" w:sz="0" w:space="0" w:color="auto"/>
        <w:left w:val="none" w:sz="0" w:space="0" w:color="auto"/>
        <w:bottom w:val="none" w:sz="0" w:space="0" w:color="auto"/>
        <w:right w:val="none" w:sz="0" w:space="0" w:color="auto"/>
      </w:divBdr>
    </w:div>
    <w:div w:id="151214410">
      <w:bodyDiv w:val="1"/>
      <w:marLeft w:val="0"/>
      <w:marRight w:val="0"/>
      <w:marTop w:val="0"/>
      <w:marBottom w:val="0"/>
      <w:divBdr>
        <w:top w:val="none" w:sz="0" w:space="0" w:color="auto"/>
        <w:left w:val="none" w:sz="0" w:space="0" w:color="auto"/>
        <w:bottom w:val="none" w:sz="0" w:space="0" w:color="auto"/>
        <w:right w:val="none" w:sz="0" w:space="0" w:color="auto"/>
      </w:divBdr>
    </w:div>
    <w:div w:id="168907468">
      <w:bodyDiv w:val="1"/>
      <w:marLeft w:val="0"/>
      <w:marRight w:val="0"/>
      <w:marTop w:val="0"/>
      <w:marBottom w:val="0"/>
      <w:divBdr>
        <w:top w:val="none" w:sz="0" w:space="0" w:color="auto"/>
        <w:left w:val="none" w:sz="0" w:space="0" w:color="auto"/>
        <w:bottom w:val="none" w:sz="0" w:space="0" w:color="auto"/>
        <w:right w:val="none" w:sz="0" w:space="0" w:color="auto"/>
      </w:divBdr>
    </w:div>
    <w:div w:id="176699109">
      <w:bodyDiv w:val="1"/>
      <w:marLeft w:val="0"/>
      <w:marRight w:val="0"/>
      <w:marTop w:val="0"/>
      <w:marBottom w:val="0"/>
      <w:divBdr>
        <w:top w:val="none" w:sz="0" w:space="0" w:color="auto"/>
        <w:left w:val="none" w:sz="0" w:space="0" w:color="auto"/>
        <w:bottom w:val="none" w:sz="0" w:space="0" w:color="auto"/>
        <w:right w:val="none" w:sz="0" w:space="0" w:color="auto"/>
      </w:divBdr>
    </w:div>
    <w:div w:id="270284253">
      <w:bodyDiv w:val="1"/>
      <w:marLeft w:val="0"/>
      <w:marRight w:val="0"/>
      <w:marTop w:val="0"/>
      <w:marBottom w:val="0"/>
      <w:divBdr>
        <w:top w:val="none" w:sz="0" w:space="0" w:color="auto"/>
        <w:left w:val="none" w:sz="0" w:space="0" w:color="auto"/>
        <w:bottom w:val="none" w:sz="0" w:space="0" w:color="auto"/>
        <w:right w:val="none" w:sz="0" w:space="0" w:color="auto"/>
      </w:divBdr>
    </w:div>
    <w:div w:id="274603975">
      <w:bodyDiv w:val="1"/>
      <w:marLeft w:val="0"/>
      <w:marRight w:val="0"/>
      <w:marTop w:val="0"/>
      <w:marBottom w:val="0"/>
      <w:divBdr>
        <w:top w:val="none" w:sz="0" w:space="0" w:color="auto"/>
        <w:left w:val="none" w:sz="0" w:space="0" w:color="auto"/>
        <w:bottom w:val="none" w:sz="0" w:space="0" w:color="auto"/>
        <w:right w:val="none" w:sz="0" w:space="0" w:color="auto"/>
      </w:divBdr>
    </w:div>
    <w:div w:id="351955782">
      <w:bodyDiv w:val="1"/>
      <w:marLeft w:val="0"/>
      <w:marRight w:val="0"/>
      <w:marTop w:val="0"/>
      <w:marBottom w:val="0"/>
      <w:divBdr>
        <w:top w:val="none" w:sz="0" w:space="0" w:color="auto"/>
        <w:left w:val="none" w:sz="0" w:space="0" w:color="auto"/>
        <w:bottom w:val="none" w:sz="0" w:space="0" w:color="auto"/>
        <w:right w:val="none" w:sz="0" w:space="0" w:color="auto"/>
      </w:divBdr>
    </w:div>
    <w:div w:id="460996022">
      <w:bodyDiv w:val="1"/>
      <w:marLeft w:val="0"/>
      <w:marRight w:val="0"/>
      <w:marTop w:val="0"/>
      <w:marBottom w:val="0"/>
      <w:divBdr>
        <w:top w:val="none" w:sz="0" w:space="0" w:color="auto"/>
        <w:left w:val="none" w:sz="0" w:space="0" w:color="auto"/>
        <w:bottom w:val="none" w:sz="0" w:space="0" w:color="auto"/>
        <w:right w:val="none" w:sz="0" w:space="0" w:color="auto"/>
      </w:divBdr>
    </w:div>
    <w:div w:id="481771801">
      <w:bodyDiv w:val="1"/>
      <w:marLeft w:val="0"/>
      <w:marRight w:val="0"/>
      <w:marTop w:val="0"/>
      <w:marBottom w:val="0"/>
      <w:divBdr>
        <w:top w:val="none" w:sz="0" w:space="0" w:color="auto"/>
        <w:left w:val="none" w:sz="0" w:space="0" w:color="auto"/>
        <w:bottom w:val="none" w:sz="0" w:space="0" w:color="auto"/>
        <w:right w:val="none" w:sz="0" w:space="0" w:color="auto"/>
      </w:divBdr>
    </w:div>
    <w:div w:id="507865523">
      <w:bodyDiv w:val="1"/>
      <w:marLeft w:val="0"/>
      <w:marRight w:val="0"/>
      <w:marTop w:val="0"/>
      <w:marBottom w:val="0"/>
      <w:divBdr>
        <w:top w:val="none" w:sz="0" w:space="0" w:color="auto"/>
        <w:left w:val="none" w:sz="0" w:space="0" w:color="auto"/>
        <w:bottom w:val="none" w:sz="0" w:space="0" w:color="auto"/>
        <w:right w:val="none" w:sz="0" w:space="0" w:color="auto"/>
      </w:divBdr>
    </w:div>
    <w:div w:id="554853961">
      <w:bodyDiv w:val="1"/>
      <w:marLeft w:val="0"/>
      <w:marRight w:val="0"/>
      <w:marTop w:val="0"/>
      <w:marBottom w:val="0"/>
      <w:divBdr>
        <w:top w:val="none" w:sz="0" w:space="0" w:color="auto"/>
        <w:left w:val="none" w:sz="0" w:space="0" w:color="auto"/>
        <w:bottom w:val="none" w:sz="0" w:space="0" w:color="auto"/>
        <w:right w:val="none" w:sz="0" w:space="0" w:color="auto"/>
      </w:divBdr>
    </w:div>
    <w:div w:id="610819700">
      <w:bodyDiv w:val="1"/>
      <w:marLeft w:val="0"/>
      <w:marRight w:val="0"/>
      <w:marTop w:val="0"/>
      <w:marBottom w:val="0"/>
      <w:divBdr>
        <w:top w:val="none" w:sz="0" w:space="0" w:color="auto"/>
        <w:left w:val="none" w:sz="0" w:space="0" w:color="auto"/>
        <w:bottom w:val="none" w:sz="0" w:space="0" w:color="auto"/>
        <w:right w:val="none" w:sz="0" w:space="0" w:color="auto"/>
      </w:divBdr>
    </w:div>
    <w:div w:id="638922291">
      <w:bodyDiv w:val="1"/>
      <w:marLeft w:val="0"/>
      <w:marRight w:val="0"/>
      <w:marTop w:val="0"/>
      <w:marBottom w:val="0"/>
      <w:divBdr>
        <w:top w:val="none" w:sz="0" w:space="0" w:color="auto"/>
        <w:left w:val="none" w:sz="0" w:space="0" w:color="auto"/>
        <w:bottom w:val="none" w:sz="0" w:space="0" w:color="auto"/>
        <w:right w:val="none" w:sz="0" w:space="0" w:color="auto"/>
      </w:divBdr>
    </w:div>
    <w:div w:id="693649529">
      <w:bodyDiv w:val="1"/>
      <w:marLeft w:val="0"/>
      <w:marRight w:val="0"/>
      <w:marTop w:val="0"/>
      <w:marBottom w:val="0"/>
      <w:divBdr>
        <w:top w:val="none" w:sz="0" w:space="0" w:color="auto"/>
        <w:left w:val="none" w:sz="0" w:space="0" w:color="auto"/>
        <w:bottom w:val="none" w:sz="0" w:space="0" w:color="auto"/>
        <w:right w:val="none" w:sz="0" w:space="0" w:color="auto"/>
      </w:divBdr>
    </w:div>
    <w:div w:id="705787400">
      <w:bodyDiv w:val="1"/>
      <w:marLeft w:val="0"/>
      <w:marRight w:val="0"/>
      <w:marTop w:val="0"/>
      <w:marBottom w:val="0"/>
      <w:divBdr>
        <w:top w:val="none" w:sz="0" w:space="0" w:color="auto"/>
        <w:left w:val="none" w:sz="0" w:space="0" w:color="auto"/>
        <w:bottom w:val="none" w:sz="0" w:space="0" w:color="auto"/>
        <w:right w:val="none" w:sz="0" w:space="0" w:color="auto"/>
      </w:divBdr>
    </w:div>
    <w:div w:id="730689684">
      <w:bodyDiv w:val="1"/>
      <w:marLeft w:val="0"/>
      <w:marRight w:val="0"/>
      <w:marTop w:val="0"/>
      <w:marBottom w:val="0"/>
      <w:divBdr>
        <w:top w:val="none" w:sz="0" w:space="0" w:color="auto"/>
        <w:left w:val="none" w:sz="0" w:space="0" w:color="auto"/>
        <w:bottom w:val="none" w:sz="0" w:space="0" w:color="auto"/>
        <w:right w:val="none" w:sz="0" w:space="0" w:color="auto"/>
      </w:divBdr>
    </w:div>
    <w:div w:id="753209059">
      <w:bodyDiv w:val="1"/>
      <w:marLeft w:val="0"/>
      <w:marRight w:val="0"/>
      <w:marTop w:val="0"/>
      <w:marBottom w:val="0"/>
      <w:divBdr>
        <w:top w:val="none" w:sz="0" w:space="0" w:color="auto"/>
        <w:left w:val="none" w:sz="0" w:space="0" w:color="auto"/>
        <w:bottom w:val="none" w:sz="0" w:space="0" w:color="auto"/>
        <w:right w:val="none" w:sz="0" w:space="0" w:color="auto"/>
      </w:divBdr>
    </w:div>
    <w:div w:id="805506440">
      <w:bodyDiv w:val="1"/>
      <w:marLeft w:val="0"/>
      <w:marRight w:val="0"/>
      <w:marTop w:val="0"/>
      <w:marBottom w:val="0"/>
      <w:divBdr>
        <w:top w:val="none" w:sz="0" w:space="0" w:color="auto"/>
        <w:left w:val="none" w:sz="0" w:space="0" w:color="auto"/>
        <w:bottom w:val="none" w:sz="0" w:space="0" w:color="auto"/>
        <w:right w:val="none" w:sz="0" w:space="0" w:color="auto"/>
      </w:divBdr>
    </w:div>
    <w:div w:id="813835278">
      <w:bodyDiv w:val="1"/>
      <w:marLeft w:val="0"/>
      <w:marRight w:val="0"/>
      <w:marTop w:val="0"/>
      <w:marBottom w:val="0"/>
      <w:divBdr>
        <w:top w:val="none" w:sz="0" w:space="0" w:color="auto"/>
        <w:left w:val="none" w:sz="0" w:space="0" w:color="auto"/>
        <w:bottom w:val="none" w:sz="0" w:space="0" w:color="auto"/>
        <w:right w:val="none" w:sz="0" w:space="0" w:color="auto"/>
      </w:divBdr>
    </w:div>
    <w:div w:id="894437224">
      <w:bodyDiv w:val="1"/>
      <w:marLeft w:val="0"/>
      <w:marRight w:val="0"/>
      <w:marTop w:val="0"/>
      <w:marBottom w:val="0"/>
      <w:divBdr>
        <w:top w:val="none" w:sz="0" w:space="0" w:color="auto"/>
        <w:left w:val="none" w:sz="0" w:space="0" w:color="auto"/>
        <w:bottom w:val="none" w:sz="0" w:space="0" w:color="auto"/>
        <w:right w:val="none" w:sz="0" w:space="0" w:color="auto"/>
      </w:divBdr>
    </w:div>
    <w:div w:id="906497616">
      <w:bodyDiv w:val="1"/>
      <w:marLeft w:val="0"/>
      <w:marRight w:val="0"/>
      <w:marTop w:val="0"/>
      <w:marBottom w:val="0"/>
      <w:divBdr>
        <w:top w:val="none" w:sz="0" w:space="0" w:color="auto"/>
        <w:left w:val="none" w:sz="0" w:space="0" w:color="auto"/>
        <w:bottom w:val="none" w:sz="0" w:space="0" w:color="auto"/>
        <w:right w:val="none" w:sz="0" w:space="0" w:color="auto"/>
      </w:divBdr>
    </w:div>
    <w:div w:id="910429744">
      <w:bodyDiv w:val="1"/>
      <w:marLeft w:val="0"/>
      <w:marRight w:val="0"/>
      <w:marTop w:val="0"/>
      <w:marBottom w:val="0"/>
      <w:divBdr>
        <w:top w:val="none" w:sz="0" w:space="0" w:color="auto"/>
        <w:left w:val="none" w:sz="0" w:space="0" w:color="auto"/>
        <w:bottom w:val="none" w:sz="0" w:space="0" w:color="auto"/>
        <w:right w:val="none" w:sz="0" w:space="0" w:color="auto"/>
      </w:divBdr>
    </w:div>
    <w:div w:id="940071157">
      <w:bodyDiv w:val="1"/>
      <w:marLeft w:val="0"/>
      <w:marRight w:val="0"/>
      <w:marTop w:val="0"/>
      <w:marBottom w:val="0"/>
      <w:divBdr>
        <w:top w:val="none" w:sz="0" w:space="0" w:color="auto"/>
        <w:left w:val="none" w:sz="0" w:space="0" w:color="auto"/>
        <w:bottom w:val="none" w:sz="0" w:space="0" w:color="auto"/>
        <w:right w:val="none" w:sz="0" w:space="0" w:color="auto"/>
      </w:divBdr>
    </w:div>
    <w:div w:id="956181761">
      <w:bodyDiv w:val="1"/>
      <w:marLeft w:val="0"/>
      <w:marRight w:val="0"/>
      <w:marTop w:val="0"/>
      <w:marBottom w:val="0"/>
      <w:divBdr>
        <w:top w:val="none" w:sz="0" w:space="0" w:color="auto"/>
        <w:left w:val="none" w:sz="0" w:space="0" w:color="auto"/>
        <w:bottom w:val="none" w:sz="0" w:space="0" w:color="auto"/>
        <w:right w:val="none" w:sz="0" w:space="0" w:color="auto"/>
      </w:divBdr>
    </w:div>
    <w:div w:id="961111553">
      <w:bodyDiv w:val="1"/>
      <w:marLeft w:val="0"/>
      <w:marRight w:val="0"/>
      <w:marTop w:val="0"/>
      <w:marBottom w:val="0"/>
      <w:divBdr>
        <w:top w:val="none" w:sz="0" w:space="0" w:color="auto"/>
        <w:left w:val="none" w:sz="0" w:space="0" w:color="auto"/>
        <w:bottom w:val="none" w:sz="0" w:space="0" w:color="auto"/>
        <w:right w:val="none" w:sz="0" w:space="0" w:color="auto"/>
      </w:divBdr>
    </w:div>
    <w:div w:id="968901121">
      <w:bodyDiv w:val="1"/>
      <w:marLeft w:val="0"/>
      <w:marRight w:val="0"/>
      <w:marTop w:val="0"/>
      <w:marBottom w:val="0"/>
      <w:divBdr>
        <w:top w:val="none" w:sz="0" w:space="0" w:color="auto"/>
        <w:left w:val="none" w:sz="0" w:space="0" w:color="auto"/>
        <w:bottom w:val="none" w:sz="0" w:space="0" w:color="auto"/>
        <w:right w:val="none" w:sz="0" w:space="0" w:color="auto"/>
      </w:divBdr>
    </w:div>
    <w:div w:id="977951371">
      <w:bodyDiv w:val="1"/>
      <w:marLeft w:val="0"/>
      <w:marRight w:val="0"/>
      <w:marTop w:val="0"/>
      <w:marBottom w:val="0"/>
      <w:divBdr>
        <w:top w:val="none" w:sz="0" w:space="0" w:color="auto"/>
        <w:left w:val="none" w:sz="0" w:space="0" w:color="auto"/>
        <w:bottom w:val="none" w:sz="0" w:space="0" w:color="auto"/>
        <w:right w:val="none" w:sz="0" w:space="0" w:color="auto"/>
      </w:divBdr>
    </w:div>
    <w:div w:id="1107115692">
      <w:bodyDiv w:val="1"/>
      <w:marLeft w:val="0"/>
      <w:marRight w:val="0"/>
      <w:marTop w:val="0"/>
      <w:marBottom w:val="0"/>
      <w:divBdr>
        <w:top w:val="none" w:sz="0" w:space="0" w:color="auto"/>
        <w:left w:val="none" w:sz="0" w:space="0" w:color="auto"/>
        <w:bottom w:val="none" w:sz="0" w:space="0" w:color="auto"/>
        <w:right w:val="none" w:sz="0" w:space="0" w:color="auto"/>
      </w:divBdr>
    </w:div>
    <w:div w:id="1138496250">
      <w:bodyDiv w:val="1"/>
      <w:marLeft w:val="0"/>
      <w:marRight w:val="0"/>
      <w:marTop w:val="0"/>
      <w:marBottom w:val="0"/>
      <w:divBdr>
        <w:top w:val="none" w:sz="0" w:space="0" w:color="auto"/>
        <w:left w:val="none" w:sz="0" w:space="0" w:color="auto"/>
        <w:bottom w:val="none" w:sz="0" w:space="0" w:color="auto"/>
        <w:right w:val="none" w:sz="0" w:space="0" w:color="auto"/>
      </w:divBdr>
    </w:div>
    <w:div w:id="1154024182">
      <w:bodyDiv w:val="1"/>
      <w:marLeft w:val="0"/>
      <w:marRight w:val="0"/>
      <w:marTop w:val="0"/>
      <w:marBottom w:val="0"/>
      <w:divBdr>
        <w:top w:val="none" w:sz="0" w:space="0" w:color="auto"/>
        <w:left w:val="none" w:sz="0" w:space="0" w:color="auto"/>
        <w:bottom w:val="none" w:sz="0" w:space="0" w:color="auto"/>
        <w:right w:val="none" w:sz="0" w:space="0" w:color="auto"/>
      </w:divBdr>
    </w:div>
    <w:div w:id="1180467056">
      <w:bodyDiv w:val="1"/>
      <w:marLeft w:val="0"/>
      <w:marRight w:val="0"/>
      <w:marTop w:val="0"/>
      <w:marBottom w:val="0"/>
      <w:divBdr>
        <w:top w:val="none" w:sz="0" w:space="0" w:color="auto"/>
        <w:left w:val="none" w:sz="0" w:space="0" w:color="auto"/>
        <w:bottom w:val="none" w:sz="0" w:space="0" w:color="auto"/>
        <w:right w:val="none" w:sz="0" w:space="0" w:color="auto"/>
      </w:divBdr>
    </w:div>
    <w:div w:id="1366523438">
      <w:bodyDiv w:val="1"/>
      <w:marLeft w:val="0"/>
      <w:marRight w:val="0"/>
      <w:marTop w:val="0"/>
      <w:marBottom w:val="0"/>
      <w:divBdr>
        <w:top w:val="none" w:sz="0" w:space="0" w:color="auto"/>
        <w:left w:val="none" w:sz="0" w:space="0" w:color="auto"/>
        <w:bottom w:val="none" w:sz="0" w:space="0" w:color="auto"/>
        <w:right w:val="none" w:sz="0" w:space="0" w:color="auto"/>
      </w:divBdr>
    </w:div>
    <w:div w:id="1441148580">
      <w:bodyDiv w:val="1"/>
      <w:marLeft w:val="0"/>
      <w:marRight w:val="0"/>
      <w:marTop w:val="0"/>
      <w:marBottom w:val="0"/>
      <w:divBdr>
        <w:top w:val="none" w:sz="0" w:space="0" w:color="auto"/>
        <w:left w:val="none" w:sz="0" w:space="0" w:color="auto"/>
        <w:bottom w:val="none" w:sz="0" w:space="0" w:color="auto"/>
        <w:right w:val="none" w:sz="0" w:space="0" w:color="auto"/>
      </w:divBdr>
    </w:div>
    <w:div w:id="1465347984">
      <w:bodyDiv w:val="1"/>
      <w:marLeft w:val="0"/>
      <w:marRight w:val="0"/>
      <w:marTop w:val="0"/>
      <w:marBottom w:val="0"/>
      <w:divBdr>
        <w:top w:val="none" w:sz="0" w:space="0" w:color="auto"/>
        <w:left w:val="none" w:sz="0" w:space="0" w:color="auto"/>
        <w:bottom w:val="none" w:sz="0" w:space="0" w:color="auto"/>
        <w:right w:val="none" w:sz="0" w:space="0" w:color="auto"/>
      </w:divBdr>
    </w:div>
    <w:div w:id="1495141884">
      <w:bodyDiv w:val="1"/>
      <w:marLeft w:val="0"/>
      <w:marRight w:val="0"/>
      <w:marTop w:val="0"/>
      <w:marBottom w:val="0"/>
      <w:divBdr>
        <w:top w:val="none" w:sz="0" w:space="0" w:color="auto"/>
        <w:left w:val="none" w:sz="0" w:space="0" w:color="auto"/>
        <w:bottom w:val="none" w:sz="0" w:space="0" w:color="auto"/>
        <w:right w:val="none" w:sz="0" w:space="0" w:color="auto"/>
      </w:divBdr>
    </w:div>
    <w:div w:id="1505049345">
      <w:bodyDiv w:val="1"/>
      <w:marLeft w:val="0"/>
      <w:marRight w:val="0"/>
      <w:marTop w:val="0"/>
      <w:marBottom w:val="0"/>
      <w:divBdr>
        <w:top w:val="none" w:sz="0" w:space="0" w:color="auto"/>
        <w:left w:val="none" w:sz="0" w:space="0" w:color="auto"/>
        <w:bottom w:val="none" w:sz="0" w:space="0" w:color="auto"/>
        <w:right w:val="none" w:sz="0" w:space="0" w:color="auto"/>
      </w:divBdr>
    </w:div>
    <w:div w:id="1571309309">
      <w:bodyDiv w:val="1"/>
      <w:marLeft w:val="0"/>
      <w:marRight w:val="0"/>
      <w:marTop w:val="0"/>
      <w:marBottom w:val="0"/>
      <w:divBdr>
        <w:top w:val="none" w:sz="0" w:space="0" w:color="auto"/>
        <w:left w:val="none" w:sz="0" w:space="0" w:color="auto"/>
        <w:bottom w:val="none" w:sz="0" w:space="0" w:color="auto"/>
        <w:right w:val="none" w:sz="0" w:space="0" w:color="auto"/>
      </w:divBdr>
    </w:div>
    <w:div w:id="1710497228">
      <w:bodyDiv w:val="1"/>
      <w:marLeft w:val="0"/>
      <w:marRight w:val="0"/>
      <w:marTop w:val="0"/>
      <w:marBottom w:val="0"/>
      <w:divBdr>
        <w:top w:val="none" w:sz="0" w:space="0" w:color="auto"/>
        <w:left w:val="none" w:sz="0" w:space="0" w:color="auto"/>
        <w:bottom w:val="none" w:sz="0" w:space="0" w:color="auto"/>
        <w:right w:val="none" w:sz="0" w:space="0" w:color="auto"/>
      </w:divBdr>
    </w:div>
    <w:div w:id="1743410189">
      <w:bodyDiv w:val="1"/>
      <w:marLeft w:val="0"/>
      <w:marRight w:val="0"/>
      <w:marTop w:val="0"/>
      <w:marBottom w:val="0"/>
      <w:divBdr>
        <w:top w:val="none" w:sz="0" w:space="0" w:color="auto"/>
        <w:left w:val="none" w:sz="0" w:space="0" w:color="auto"/>
        <w:bottom w:val="none" w:sz="0" w:space="0" w:color="auto"/>
        <w:right w:val="none" w:sz="0" w:space="0" w:color="auto"/>
      </w:divBdr>
    </w:div>
    <w:div w:id="1764914186">
      <w:bodyDiv w:val="1"/>
      <w:marLeft w:val="0"/>
      <w:marRight w:val="0"/>
      <w:marTop w:val="0"/>
      <w:marBottom w:val="0"/>
      <w:divBdr>
        <w:top w:val="none" w:sz="0" w:space="0" w:color="auto"/>
        <w:left w:val="none" w:sz="0" w:space="0" w:color="auto"/>
        <w:bottom w:val="none" w:sz="0" w:space="0" w:color="auto"/>
        <w:right w:val="none" w:sz="0" w:space="0" w:color="auto"/>
      </w:divBdr>
    </w:div>
    <w:div w:id="1814055609">
      <w:bodyDiv w:val="1"/>
      <w:marLeft w:val="0"/>
      <w:marRight w:val="0"/>
      <w:marTop w:val="0"/>
      <w:marBottom w:val="0"/>
      <w:divBdr>
        <w:top w:val="none" w:sz="0" w:space="0" w:color="auto"/>
        <w:left w:val="none" w:sz="0" w:space="0" w:color="auto"/>
        <w:bottom w:val="none" w:sz="0" w:space="0" w:color="auto"/>
        <w:right w:val="none" w:sz="0" w:space="0" w:color="auto"/>
      </w:divBdr>
    </w:div>
    <w:div w:id="1842046360">
      <w:bodyDiv w:val="1"/>
      <w:marLeft w:val="0"/>
      <w:marRight w:val="0"/>
      <w:marTop w:val="0"/>
      <w:marBottom w:val="0"/>
      <w:divBdr>
        <w:top w:val="none" w:sz="0" w:space="0" w:color="auto"/>
        <w:left w:val="none" w:sz="0" w:space="0" w:color="auto"/>
        <w:bottom w:val="none" w:sz="0" w:space="0" w:color="auto"/>
        <w:right w:val="none" w:sz="0" w:space="0" w:color="auto"/>
      </w:divBdr>
    </w:div>
    <w:div w:id="1861434470">
      <w:bodyDiv w:val="1"/>
      <w:marLeft w:val="0"/>
      <w:marRight w:val="0"/>
      <w:marTop w:val="0"/>
      <w:marBottom w:val="0"/>
      <w:divBdr>
        <w:top w:val="none" w:sz="0" w:space="0" w:color="auto"/>
        <w:left w:val="none" w:sz="0" w:space="0" w:color="auto"/>
        <w:bottom w:val="none" w:sz="0" w:space="0" w:color="auto"/>
        <w:right w:val="none" w:sz="0" w:space="0" w:color="auto"/>
      </w:divBdr>
    </w:div>
    <w:div w:id="1911186169">
      <w:bodyDiv w:val="1"/>
      <w:marLeft w:val="0"/>
      <w:marRight w:val="0"/>
      <w:marTop w:val="0"/>
      <w:marBottom w:val="0"/>
      <w:divBdr>
        <w:top w:val="none" w:sz="0" w:space="0" w:color="auto"/>
        <w:left w:val="none" w:sz="0" w:space="0" w:color="auto"/>
        <w:bottom w:val="none" w:sz="0" w:space="0" w:color="auto"/>
        <w:right w:val="none" w:sz="0" w:space="0" w:color="auto"/>
      </w:divBdr>
    </w:div>
    <w:div w:id="2002389319">
      <w:bodyDiv w:val="1"/>
      <w:marLeft w:val="0"/>
      <w:marRight w:val="0"/>
      <w:marTop w:val="0"/>
      <w:marBottom w:val="0"/>
      <w:divBdr>
        <w:top w:val="none" w:sz="0" w:space="0" w:color="auto"/>
        <w:left w:val="none" w:sz="0" w:space="0" w:color="auto"/>
        <w:bottom w:val="none" w:sz="0" w:space="0" w:color="auto"/>
        <w:right w:val="none" w:sz="0" w:space="0" w:color="auto"/>
      </w:divBdr>
    </w:div>
    <w:div w:id="2067994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amela.Kemp-mm@mottmac.com" TargetMode="External"/><Relationship Id="rId18" Type="http://schemas.openxmlformats.org/officeDocument/2006/relationships/hyperlink" Target="mailto:Ellen.Atkinson@ndti.org.uk" TargetMode="External"/><Relationship Id="rId26" Type="http://schemas.openxmlformats.org/officeDocument/2006/relationships/hyperlink" Target="http://pims01/pimsdav/nodes/2111496148/southwest%40nnpcf.org.uk%20" TargetMode="External"/><Relationship Id="rId39" Type="http://schemas.openxmlformats.org/officeDocument/2006/relationships/hyperlink" Target="https://www.cafamily.org.uk/media/961061/ppt_contacts_sept_2016.pdf" TargetMode="External"/><Relationship Id="rId21" Type="http://schemas.openxmlformats.org/officeDocument/2006/relationships/hyperlink" Target="http://pims01/pimsdav/nodes/2111496148/drussell%40ncb.org.uk" TargetMode="External"/><Relationship Id="rId34" Type="http://schemas.openxmlformats.org/officeDocument/2006/relationships/hyperlink" Target="https://www.cafamily.org.uk/media/961061/ppt_contacts_sept_2016.pdf" TargetMode="External"/><Relationship Id="rId42" Type="http://schemas.openxmlformats.org/officeDocument/2006/relationships/hyperlink" Target="mailto:AAdeniyi@ncb.org.uk" TargetMode="External"/><Relationship Id="rId47" Type="http://schemas.openxmlformats.org/officeDocument/2006/relationships/hyperlink" Target="http://www.councilfordisabledchildren.org.uk/resources/the-role-of-social-care-in-implementing-the-children-and-families-act" TargetMode="External"/><Relationship Id="rId50" Type="http://schemas.openxmlformats.org/officeDocument/2006/relationships/hyperlink" Target="mailto:cgoodall@ncb.org.uk" TargetMode="External"/><Relationship Id="rId55"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mailto:Scott.Boyd@mottmac.com" TargetMode="External"/><Relationship Id="rId17" Type="http://schemas.openxmlformats.org/officeDocument/2006/relationships/hyperlink" Target="mailto:Julie.Pointer@ndti.org.uk" TargetMode="External"/><Relationship Id="rId25" Type="http://schemas.openxmlformats.org/officeDocument/2006/relationships/hyperlink" Target="http://pims01/pimsdav/nodes/2111496148/london%40nnpcf.org.uk%20" TargetMode="External"/><Relationship Id="rId33" Type="http://schemas.openxmlformats.org/officeDocument/2006/relationships/hyperlink" Target="http://pims01/pimsdav/nodes/2111496148/northeast%40nnpcf.org.uk" TargetMode="External"/><Relationship Id="rId38" Type="http://schemas.openxmlformats.org/officeDocument/2006/relationships/hyperlink" Target="http://cafamily.us2.list-manage1.com/subscribe?u=9eee2b1f9768ecfa9240bb161&amp;id=1616de104a" TargetMode="External"/><Relationship Id="rId46" Type="http://schemas.openxmlformats.org/officeDocument/2006/relationships/hyperlink" Target="mailto:cbennett@ncb.org.uk" TargetMode="External"/><Relationship Id="rId2" Type="http://schemas.openxmlformats.org/officeDocument/2006/relationships/numbering" Target="numbering.xml"/><Relationship Id="rId16" Type="http://schemas.openxmlformats.org/officeDocument/2006/relationships/hyperlink" Target="mailto:Carol.Robinson@ndti.org.uk" TargetMode="External"/><Relationship Id="rId20" Type="http://schemas.openxmlformats.org/officeDocument/2006/relationships/hyperlink" Target="http://www.iassnetwork.org.uk/" TargetMode="External"/><Relationship Id="rId29" Type="http://schemas.openxmlformats.org/officeDocument/2006/relationships/hyperlink" Target="http://pims01/pimsdav/nodes/2111496148/westmidlands%40nnpcf.org.uk%20" TargetMode="External"/><Relationship Id="rId41" Type="http://schemas.openxmlformats.org/officeDocument/2006/relationships/hyperlink" Target="http://www.councilfordisabledchildren.org.uk"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ry.Wood@mottmac.com" TargetMode="External"/><Relationship Id="rId24" Type="http://schemas.openxmlformats.org/officeDocument/2006/relationships/hyperlink" Target="http://pims01/pimsdav/nodes/2111496148/info%40nnpcf.org.uk%20" TargetMode="External"/><Relationship Id="rId32" Type="http://schemas.openxmlformats.org/officeDocument/2006/relationships/hyperlink" Target="http://pims01/pimsdav/nodes/2111496148/yorksandhumber%40nnpcf.org.uk%20" TargetMode="External"/><Relationship Id="rId37" Type="http://schemas.openxmlformats.org/officeDocument/2006/relationships/hyperlink" Target="mailto:parent.participation@cafamily.org.uk" TargetMode="External"/><Relationship Id="rId40" Type="http://schemas.openxmlformats.org/officeDocument/2006/relationships/hyperlink" Target="http://www.nnpcf.org.uk" TargetMode="External"/><Relationship Id="rId45" Type="http://schemas.openxmlformats.org/officeDocument/2006/relationships/hyperlink" Target="mailto:mbull@ncb.org.uk" TargetMode="External"/><Relationship Id="rId53" Type="http://schemas.openxmlformats.org/officeDocument/2006/relationships/footer" Target="footer1.xml"/><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Linda.Jordan@ndti.org.uk" TargetMode="External"/><Relationship Id="rId23" Type="http://schemas.openxmlformats.org/officeDocument/2006/relationships/hyperlink" Target="mailto:rob.greig@ndti.org.uk" TargetMode="External"/><Relationship Id="rId28" Type="http://schemas.openxmlformats.org/officeDocument/2006/relationships/hyperlink" Target="http://pims01/pimsdav/nodes/2111496148/eastofengland%40nnpcf.org.uk%20" TargetMode="External"/><Relationship Id="rId36" Type="http://schemas.openxmlformats.org/officeDocument/2006/relationships/hyperlink" Target="https://www.cafamily.org.uk/get-involved/parent-carer-participation/improving-health-services/" TargetMode="External"/><Relationship Id="rId49" Type="http://schemas.openxmlformats.org/officeDocument/2006/relationships/hyperlink" Target="mailto:cbennett@ncb.org.uk" TargetMode="External"/><Relationship Id="rId57" Type="http://schemas.openxmlformats.org/officeDocument/2006/relationships/fontTable" Target="fontTable.xml"/><Relationship Id="rId10" Type="http://schemas.openxmlformats.org/officeDocument/2006/relationships/hyperlink" Target="mailto:Natalie.fisher@mottmac.com" TargetMode="External"/><Relationship Id="rId19" Type="http://schemas.openxmlformats.org/officeDocument/2006/relationships/hyperlink" Target="mailto:drussell@ncb.org.uk" TargetMode="External"/><Relationship Id="rId31" Type="http://schemas.openxmlformats.org/officeDocument/2006/relationships/hyperlink" Target="http://pims01/pimsdav/nodes/2111496148/northwest%40nnpcf.org.uk%20" TargetMode="External"/><Relationship Id="rId44" Type="http://schemas.openxmlformats.org/officeDocument/2006/relationships/hyperlink" Target="mailto:Lynn.Horsfield@kids.org.uk" TargetMode="External"/><Relationship Id="rId52"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mailto:Megan.Grantham@mottmac.com" TargetMode="External"/><Relationship Id="rId14" Type="http://schemas.openxmlformats.org/officeDocument/2006/relationships/hyperlink" Target="http://pims01/pimsdav/nodes/2111496148/Pat.Bullen%40ndti.org.uk" TargetMode="External"/><Relationship Id="rId22" Type="http://schemas.openxmlformats.org/officeDocument/2006/relationships/hyperlink" Target="http://www.ndti.org.uk/our-work/our-projects/leadership/leadership-training" TargetMode="External"/><Relationship Id="rId27" Type="http://schemas.openxmlformats.org/officeDocument/2006/relationships/hyperlink" Target="http://pims01/pimsdav/nodes/2111496148/southeast%40nnpcf.org.uk%20" TargetMode="External"/><Relationship Id="rId30" Type="http://schemas.openxmlformats.org/officeDocument/2006/relationships/hyperlink" Target="http://pims01/pimsdav/nodes/2111496148/eastmidlands%40nnpcf.org.uk%20" TargetMode="External"/><Relationship Id="rId35" Type="http://schemas.openxmlformats.org/officeDocument/2006/relationships/hyperlink" Target="https://www.cafamily.org.uk/get-involved/parent-carer-participation/parent-carer-participation-grant-and-monitoring-(england)/" TargetMode="External"/><Relationship Id="rId43" Type="http://schemas.openxmlformats.org/officeDocument/2006/relationships/hyperlink" Target="mailto:pshaw@ncb.org.uk" TargetMode="External"/><Relationship Id="rId48" Type="http://schemas.openxmlformats.org/officeDocument/2006/relationships/hyperlink" Target="http://www.councilfordisabledchildren.org.uk/media/1107462/identifying-the-social-needs.pdf" TargetMode="External"/><Relationship Id="rId56" Type="http://schemas.openxmlformats.org/officeDocument/2006/relationships/footer" Target="footer3.xml"/><Relationship Id="rId8" Type="http://schemas.openxmlformats.org/officeDocument/2006/relationships/endnotes" Target="endnotes.xml"/><Relationship Id="rId51" Type="http://schemas.openxmlformats.org/officeDocument/2006/relationships/header" Target="header1.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9D717-C89E-4AD3-92A6-2BC656B8F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3833</Words>
  <Characters>21850</Characters>
  <Application>Microsoft Office Word</Application>
  <DocSecurity>4</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Mott MacDonald</Company>
  <LinksUpToDate>false</LinksUpToDate>
  <CharactersWithSpaces>25632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gra71267</dc:creator>
  <cp:lastModifiedBy>Sharon Davies</cp:lastModifiedBy>
  <cp:revision>2</cp:revision>
  <dcterms:created xsi:type="dcterms:W3CDTF">2017-05-22T12:47:00Z</dcterms:created>
  <dcterms:modified xsi:type="dcterms:W3CDTF">2017-05-22T12:47:00Z</dcterms:modified>
</cp:coreProperties>
</file>